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2B5B" w14:textId="4A72F51E" w:rsidR="00D7773F" w:rsidRPr="00D7773F" w:rsidRDefault="00B43221" w:rsidP="001B4A5B">
      <w:pPr>
        <w:keepLines/>
        <w:tabs>
          <w:tab w:val="left" w:pos="8505"/>
          <w:tab w:val="left" w:pos="13608"/>
        </w:tabs>
        <w:spacing w:after="360" w:line="360" w:lineRule="auto"/>
        <w:rPr>
          <w:rFonts w:eastAsia="Lucida Sans Unicode" w:cstheme="minorHAnsi"/>
          <w:sz w:val="24"/>
          <w:szCs w:val="24"/>
          <w:lang w:eastAsia="ar-SA"/>
        </w:rPr>
      </w:pPr>
      <w:r w:rsidRPr="00965B66">
        <w:rPr>
          <w:rFonts w:cstheme="minorHAnsi"/>
          <w:b/>
          <w:noProof/>
          <w:sz w:val="48"/>
          <w:szCs w:val="50"/>
          <w:lang w:eastAsia="pl-PL"/>
        </w:rPr>
        <w:drawing>
          <wp:inline distT="0" distB="0" distL="0" distR="0" wp14:anchorId="37326F05" wp14:editId="24D9D49B">
            <wp:extent cx="5755005" cy="5245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4AE1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="003B4AE1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="003B4AE1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5B3860F7" w:rsidR="00D7773F" w:rsidRPr="005268F6" w:rsidRDefault="00D7773F" w:rsidP="00D64638">
      <w:pPr>
        <w:keepLines/>
        <w:tabs>
          <w:tab w:val="left" w:pos="8505"/>
          <w:tab w:val="left" w:pos="13608"/>
        </w:tabs>
        <w:spacing w:before="240"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D64638">
        <w:rPr>
          <w:rFonts w:eastAsia="Lucida Sans Unicode" w:cstheme="minorHAnsi"/>
          <w:b/>
          <w:sz w:val="24"/>
          <w:szCs w:val="24"/>
          <w:lang w:eastAsia="ar-SA"/>
        </w:rPr>
        <w:t xml:space="preserve"> ………</w:t>
      </w:r>
    </w:p>
    <w:p w14:paraId="4E18AB38" w14:textId="093EA36B" w:rsidR="00DF408C" w:rsidRPr="005268F6" w:rsidRDefault="00D7773F" w:rsidP="00D64638">
      <w:pPr>
        <w:keepLines/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64638" w:rsidRPr="00D64638">
        <w:rPr>
          <w:rFonts w:eastAsia="Lucida Sans Unicode" w:cstheme="minorHAnsi"/>
          <w:b/>
          <w:sz w:val="24"/>
          <w:szCs w:val="24"/>
          <w:lang w:eastAsia="ar-SA"/>
        </w:rPr>
        <w:t>………</w:t>
      </w:r>
    </w:p>
    <w:p w14:paraId="269D6A25" w14:textId="58BDCB7F" w:rsidR="00CA2F40" w:rsidRPr="00D7773F" w:rsidRDefault="003C74A2" w:rsidP="00D64638">
      <w:pPr>
        <w:keepLines/>
        <w:spacing w:before="36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D64638">
      <w:pPr>
        <w:pStyle w:val="Akapitzlist"/>
        <w:keepLines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D64638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D64638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D64638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D64638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D64638">
      <w:pPr>
        <w:pStyle w:val="Akapitzlist"/>
        <w:keepLines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D64638">
      <w:pPr>
        <w:pStyle w:val="Akapitzlist"/>
        <w:keepLines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00D64638">
      <w:pPr>
        <w:pStyle w:val="Akapitzlist"/>
        <w:keepLines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D64638">
      <w:pPr>
        <w:pStyle w:val="Akapitzlist"/>
        <w:keepLines/>
        <w:numPr>
          <w:ilvl w:val="0"/>
          <w:numId w:val="15"/>
        </w:numPr>
        <w:spacing w:before="120"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lastRenderedPageBreak/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D64638">
      <w:pPr>
        <w:keepLines/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4329DBDC" w:rsidR="006628A8" w:rsidRDefault="006628A8" w:rsidP="00D64638">
      <w:pPr>
        <w:pStyle w:val="Default"/>
        <w:keepLines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>Data:</w:t>
      </w:r>
    </w:p>
    <w:p w14:paraId="54A85D12" w14:textId="539F0059" w:rsidR="006628A8" w:rsidRPr="00D7773F" w:rsidRDefault="006628A8" w:rsidP="00D64638">
      <w:pPr>
        <w:keepLines/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</w:p>
    <w:sectPr w:rsidR="006628A8" w:rsidRPr="00D7773F" w:rsidSect="00B43221"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648" w16cex:dateUtc="2023-02-07T12:53:00Z"/>
  <w16cex:commentExtensible w16cex:durableId="7C574EC8" w16cex:dateUtc="2023-02-16T13:51:00Z"/>
  <w16cex:commentExtensible w16cex:durableId="279F2526" w16cex:dateUtc="2023-02-21T10:10:00Z"/>
  <w16cex:commentExtensible w16cex:durableId="278CB14C" w16cex:dateUtc="2023-02-07T10:15:00Z"/>
  <w16cex:commentExtensible w16cex:durableId="278CD6B9" w16cex:dateUtc="2023-02-07T12:55:00Z"/>
  <w16cex:commentExtensible w16cex:durableId="278CB15B" w16cex:dateUtc="2023-02-07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B43221" w:rsidRDefault="00F71B31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1" w:history="1">
        <w:r w:rsidR="003B4AE1" w:rsidRPr="00B43221">
          <w:rPr>
            <w:rStyle w:val="Hipercze"/>
            <w:rFonts w:cstheme="minorHAnsi"/>
            <w:color w:val="000000" w:themeColor="text1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="003B4AE1" w:rsidRPr="00B43221">
          <w:rPr>
            <w:rStyle w:val="Hipercze"/>
            <w:rFonts w:cstheme="minorHAnsi"/>
            <w:color w:val="000000" w:themeColor="text1"/>
          </w:rPr>
          <w:t>. zm.).</w:t>
        </w:r>
      </w:hyperlink>
    </w:p>
  </w:footnote>
  <w:footnote w:id="2">
    <w:p w14:paraId="13A55B24" w14:textId="2D69A795" w:rsidR="00F71B31" w:rsidRPr="00B43221" w:rsidRDefault="00F71B31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2" w:history="1">
        <w:r w:rsidRPr="00B43221">
          <w:rPr>
            <w:rStyle w:val="Hipercze"/>
            <w:rFonts w:cstheme="minorHAnsi"/>
            <w:color w:val="000000" w:themeColor="text1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B43221">
          <w:rPr>
            <w:rStyle w:val="Hipercze"/>
            <w:rFonts w:cstheme="minorHAnsi"/>
            <w:color w:val="000000" w:themeColor="text1"/>
          </w:rPr>
          <w:t xml:space="preserve"> r.</w:t>
        </w:r>
        <w:r w:rsidRPr="00B43221">
          <w:rPr>
            <w:rStyle w:val="Hipercze"/>
            <w:rFonts w:cstheme="minorHAnsi"/>
            <w:color w:val="000000" w:themeColor="text1"/>
          </w:rPr>
          <w:t xml:space="preserve">, s. 6, z 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 zm.)</w:t>
        </w:r>
        <w:r w:rsidR="003B4AE1" w:rsidRPr="00B43221">
          <w:rPr>
            <w:rStyle w:val="Hipercze"/>
            <w:rFonts w:cstheme="minorHAnsi"/>
            <w:color w:val="000000" w:themeColor="text1"/>
          </w:rPr>
          <w:t>.</w:t>
        </w:r>
      </w:hyperlink>
    </w:p>
  </w:footnote>
  <w:footnote w:id="3">
    <w:p w14:paraId="7BFB1625" w14:textId="7CE30CA9" w:rsidR="00FF5A20" w:rsidRPr="00B43221" w:rsidRDefault="00FF5A20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3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Rozporządzenie Rady (UE) nr 208/2014 z dnia 5 marca 2014 r. </w:t>
        </w:r>
        <w:r w:rsidRPr="00B43221">
          <w:rPr>
            <w:rStyle w:val="Hipercze"/>
            <w:rFonts w:cstheme="minorHAnsi"/>
            <w:color w:val="000000" w:themeColor="text1"/>
          </w:rPr>
          <w:t>w sprawie środków ograniczających skierowanych przeciwko niektórym osobom, podmiotom i organom w związku z sytuacją na Ukrainie (Dz. Urz. UE L 66 z 6 marca 2014 r., s.</w:t>
        </w:r>
        <w:r w:rsidR="00BD691E" w:rsidRPr="00B43221">
          <w:rPr>
            <w:rStyle w:val="Hipercze"/>
            <w:rFonts w:cstheme="minorHAnsi"/>
            <w:color w:val="000000" w:themeColor="text1"/>
          </w:rPr>
          <w:t> </w:t>
        </w:r>
        <w:r w:rsidRPr="00B43221">
          <w:rPr>
            <w:rStyle w:val="Hipercze"/>
            <w:rFonts w:cstheme="minorHAnsi"/>
            <w:color w:val="000000" w:themeColor="text1"/>
          </w:rPr>
          <w:t>1, z</w:t>
        </w:r>
        <w:r w:rsidR="007B0180" w:rsidRPr="00B43221">
          <w:rPr>
            <w:rStyle w:val="Hipercze"/>
            <w:rFonts w:cstheme="minorHAnsi"/>
            <w:color w:val="000000" w:themeColor="text1"/>
          </w:rPr>
          <w:t> 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</w:t>
        </w:r>
        <w:r w:rsidR="007B0180" w:rsidRPr="00B43221">
          <w:rPr>
            <w:rStyle w:val="Hipercze"/>
            <w:rFonts w:cstheme="minorHAnsi"/>
            <w:color w:val="000000" w:themeColor="text1"/>
          </w:rPr>
          <w:t> </w:t>
        </w:r>
        <w:r w:rsidRPr="00B43221">
          <w:rPr>
            <w:rStyle w:val="Hipercze"/>
            <w:rFonts w:cstheme="minorHAnsi"/>
            <w:color w:val="000000" w:themeColor="text1"/>
          </w:rPr>
          <w:t>zm.)</w:t>
        </w:r>
        <w:r w:rsidR="003B4AE1" w:rsidRPr="00B43221">
          <w:rPr>
            <w:rStyle w:val="Hipercze"/>
            <w:rFonts w:cstheme="minorHAnsi"/>
            <w:color w:val="000000" w:themeColor="text1"/>
          </w:rPr>
          <w:t>.</w:t>
        </w:r>
      </w:hyperlink>
    </w:p>
  </w:footnote>
  <w:footnote w:id="4">
    <w:p w14:paraId="4AC8BEA1" w14:textId="494EC017" w:rsidR="00983C95" w:rsidRPr="00B43221" w:rsidRDefault="00983C95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4" w:history="1">
        <w:r w:rsidRPr="00B43221">
          <w:rPr>
            <w:rStyle w:val="Hipercze"/>
            <w:rFonts w:cstheme="minorHAnsi"/>
            <w:bCs/>
            <w:color w:val="000000" w:themeColor="text1"/>
          </w:rPr>
          <w:t>Decyzja Rady 2014/145/</w:t>
        </w:r>
        <w:proofErr w:type="spellStart"/>
        <w:r w:rsidRPr="00B43221">
          <w:rPr>
            <w:rStyle w:val="Hipercze"/>
            <w:rFonts w:cstheme="minorHAnsi"/>
            <w:bCs/>
            <w:color w:val="000000" w:themeColor="text1"/>
          </w:rPr>
          <w:t>WPZiB</w:t>
        </w:r>
        <w:proofErr w:type="spellEnd"/>
        <w:r w:rsidRPr="00B43221">
          <w:rPr>
            <w:rStyle w:val="Hipercze"/>
            <w:rFonts w:cstheme="minorHAnsi"/>
            <w:bCs/>
            <w:color w:val="000000" w:themeColor="text1"/>
          </w:rPr>
          <w:t xml:space="preserve"> z dnia 17 marca 2014 r. </w:t>
        </w:r>
        <w:r w:rsidR="004277BB" w:rsidRPr="00B43221">
          <w:rPr>
            <w:rStyle w:val="Hipercze"/>
            <w:rFonts w:cstheme="minorHAnsi"/>
            <w:color w:val="000000" w:themeColor="text1"/>
          </w:rPr>
          <w:t>w sprawie środków ograniczających w związku z działaniami podważającymi integralność terytorialną, suwerenność i niezależność Ukrainy lub im zagrażającymi</w:t>
        </w:r>
        <w:r w:rsidRPr="00B43221">
          <w:rPr>
            <w:rStyle w:val="Hipercze"/>
            <w:rFonts w:cstheme="minorHAnsi"/>
            <w:color w:val="000000" w:themeColor="text1"/>
          </w:rPr>
          <w:t xml:space="preserve"> (Dz. Urz. UE L 78 z 17 marca 2014 r., s. 16, z 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 zm.)</w:t>
        </w:r>
        <w:r w:rsidR="00D7773F" w:rsidRPr="00B43221">
          <w:rPr>
            <w:rStyle w:val="Hipercze"/>
            <w:rFonts w:cstheme="minorHAnsi"/>
            <w:color w:val="000000" w:themeColor="text1"/>
          </w:rPr>
          <w:t>.</w:t>
        </w:r>
      </w:hyperlink>
    </w:p>
  </w:footnote>
  <w:footnote w:id="5">
    <w:p w14:paraId="075F7171" w14:textId="16C17217" w:rsidR="003A0C91" w:rsidRPr="00B43221" w:rsidRDefault="003A0C91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5" w:history="1">
        <w:r w:rsidRPr="00B43221">
          <w:rPr>
            <w:rStyle w:val="Hipercze"/>
            <w:rFonts w:eastAsia="Lucida Sans Unicode" w:cstheme="minorHAnsi"/>
            <w:color w:val="000000" w:themeColor="text1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B43221">
          <w:rPr>
            <w:rStyle w:val="Hipercze"/>
            <w:rFonts w:eastAsia="Lucida Sans Unicode" w:cstheme="minorHAnsi"/>
            <w:color w:val="000000" w:themeColor="text1"/>
            <w:lang w:eastAsia="ar-SA"/>
          </w:rPr>
          <w:t>.</w:t>
        </w:r>
      </w:hyperlink>
    </w:p>
  </w:footnote>
  <w:footnote w:id="6">
    <w:p w14:paraId="6E19FF7A" w14:textId="330DF5A0" w:rsidR="004277BB" w:rsidRPr="00B43221" w:rsidRDefault="004277BB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6" w:history="1">
        <w:r w:rsidRPr="00B43221">
          <w:rPr>
            <w:rStyle w:val="Hipercze"/>
            <w:rFonts w:cstheme="minorHAnsi"/>
            <w:color w:val="000000" w:themeColor="text1"/>
          </w:rPr>
          <w:t>Rozporządzenie Rady (UE) nr 833/2014 z dnia 31 lipca 2014 r. dotyczące środków ograniczających w związku z</w:t>
        </w:r>
        <w:r w:rsidR="00BD691E" w:rsidRPr="00B43221">
          <w:rPr>
            <w:rStyle w:val="Hipercze"/>
            <w:rFonts w:cstheme="minorHAnsi"/>
            <w:color w:val="000000" w:themeColor="text1"/>
          </w:rPr>
          <w:t> </w:t>
        </w:r>
        <w:r w:rsidRPr="00B43221">
          <w:rPr>
            <w:rStyle w:val="Hipercze"/>
            <w:rFonts w:cstheme="minorHAnsi"/>
            <w:color w:val="000000" w:themeColor="text1"/>
          </w:rPr>
          <w:t xml:space="preserve">działaniami Rosji destabilizującymi sytuację na Ukrainie (Dz. Urz. UE L 229 z 31 lipca 2014 r., s. 1, z 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 zm.)</w:t>
        </w:r>
        <w:r w:rsidR="00D7773F" w:rsidRPr="00B43221">
          <w:rPr>
            <w:rStyle w:val="Hipercze"/>
            <w:rFonts w:cstheme="minorHAnsi"/>
            <w:color w:val="000000" w:themeColor="text1"/>
          </w:rPr>
          <w:t>.</w:t>
        </w:r>
      </w:hyperlink>
      <w:r w:rsidR="00D7773F" w:rsidRPr="00B43221">
        <w:rPr>
          <w:rFonts w:cstheme="minorHAnsi"/>
          <w:color w:val="000000" w:themeColor="text1"/>
        </w:rPr>
        <w:t xml:space="preserve"> </w:t>
      </w:r>
    </w:p>
  </w:footnote>
  <w:footnote w:id="7">
    <w:p w14:paraId="4743795B" w14:textId="4DBBBEF6" w:rsidR="00A631B3" w:rsidRPr="00B43221" w:rsidRDefault="00A631B3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7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Rozporządzenie Rady (UE) 2022/263 z dnia 23 lutego 2022 r. </w:t>
        </w:r>
        <w:r w:rsidRPr="00B43221">
          <w:rPr>
            <w:rStyle w:val="Hipercze"/>
            <w:rFonts w:cstheme="minorHAnsi"/>
            <w:color w:val="000000" w:themeColor="text1"/>
          </w:rPr>
          <w:t>w sprawie środków ograniczających w odpowiedzi na uznanie niekontrolowanych przez rząd obszarów ukraińskich obwodów donieckiego i 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ługańskiego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 xml:space="preserve"> oraz nakazanie rozmieszczenia rosyjskich sił zbrojnych na tych obszarach (Dz. Urz. UE L 42I z 23 lutego 2022 r., s. 77, z 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 zm.)</w:t>
        </w:r>
        <w:r w:rsidR="00D7773F" w:rsidRPr="00B43221">
          <w:rPr>
            <w:rStyle w:val="Hipercze"/>
            <w:rFonts w:cstheme="minorHAnsi"/>
            <w:color w:val="000000" w:themeColor="text1"/>
          </w:rPr>
          <w:t>.</w:t>
        </w:r>
      </w:hyperlink>
    </w:p>
  </w:footnote>
  <w:footnote w:id="8">
    <w:p w14:paraId="172A6EDA" w14:textId="2E3CE2EE" w:rsidR="005D78B7" w:rsidRPr="00B43221" w:rsidRDefault="005D78B7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8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Rozporządzenie Rady (UE) nr 692/2014 z dnia 23 czerwca 2014 r. </w:t>
        </w:r>
        <w:r w:rsidRPr="00B43221">
          <w:rPr>
            <w:rStyle w:val="Hipercze"/>
            <w:rFonts w:cstheme="minorHAnsi"/>
            <w:color w:val="000000" w:themeColor="text1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 zm.)</w:t>
        </w:r>
        <w:r w:rsidR="00D7773F" w:rsidRPr="00B43221">
          <w:rPr>
            <w:rStyle w:val="Hipercze"/>
            <w:rFonts w:cstheme="minorHAnsi"/>
            <w:color w:val="000000" w:themeColor="text1"/>
          </w:rPr>
          <w:t>.</w:t>
        </w:r>
      </w:hyperlink>
    </w:p>
  </w:footnote>
  <w:footnote w:id="9">
    <w:p w14:paraId="5FA84F90" w14:textId="43AC21C2" w:rsidR="00CC3BA9" w:rsidRPr="00B43221" w:rsidRDefault="00CC3BA9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r w:rsidR="002D490C" w:rsidRPr="00B43221">
        <w:rPr>
          <w:rFonts w:cstheme="minorHAnsi"/>
          <w:bCs/>
          <w:color w:val="000000" w:themeColor="text1"/>
        </w:rPr>
        <w:t>Jak w przypisie 1</w:t>
      </w:r>
      <w:r w:rsidR="002D490C" w:rsidRPr="00B43221">
        <w:rPr>
          <w:rFonts w:cstheme="minorHAnsi"/>
          <w:color w:val="000000" w:themeColor="text1"/>
        </w:rPr>
        <w:t>.</w:t>
      </w:r>
    </w:p>
  </w:footnote>
  <w:footnote w:id="10">
    <w:p w14:paraId="77EC8578" w14:textId="72767FC5" w:rsidR="006465DF" w:rsidRPr="00B43221" w:rsidRDefault="006465DF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9" w:history="1">
        <w:r w:rsidRPr="00B43221">
          <w:rPr>
            <w:rStyle w:val="Hipercze"/>
            <w:rFonts w:cstheme="minorHAnsi"/>
            <w:bCs/>
            <w:color w:val="000000" w:themeColor="text1"/>
          </w:rPr>
          <w:t>Decyzja Rady (</w:t>
        </w:r>
        <w:proofErr w:type="spellStart"/>
        <w:r w:rsidRPr="00B43221">
          <w:rPr>
            <w:rStyle w:val="Hipercze"/>
            <w:rFonts w:cstheme="minorHAnsi"/>
            <w:bCs/>
            <w:color w:val="000000" w:themeColor="text1"/>
          </w:rPr>
          <w:t>WPZiB</w:t>
        </w:r>
        <w:proofErr w:type="spellEnd"/>
        <w:r w:rsidRPr="00B43221">
          <w:rPr>
            <w:rStyle w:val="Hipercze"/>
            <w:rFonts w:cstheme="minorHAnsi"/>
            <w:bCs/>
            <w:color w:val="000000" w:themeColor="text1"/>
          </w:rPr>
          <w:t xml:space="preserve">) 2022/266 z dnia 23 lutego 2022 r. </w:t>
        </w:r>
        <w:r w:rsidRPr="00B43221">
          <w:rPr>
            <w:rStyle w:val="Hipercze"/>
            <w:rFonts w:cstheme="minorHAnsi"/>
            <w:color w:val="000000" w:themeColor="text1"/>
          </w:rPr>
          <w:t>w sprawie środków ograniczających w odpowiedzi na uznanie niekontrolowanych przez rząd obszarów ukraińskich obwodów donieckiego i 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ługańskiego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 xml:space="preserve"> oraz nakazanie rozmieszczenia rosyjskich sił zbrojnych na tych obszarach (Dz. Urz. UE L 42 z 23 lutego 2022 r., s. 109, z 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 zm.)</w:t>
        </w:r>
        <w:r w:rsidR="00D7773F" w:rsidRPr="00B43221">
          <w:rPr>
            <w:rStyle w:val="Hipercze"/>
            <w:rFonts w:cstheme="minorHAnsi"/>
            <w:color w:val="000000" w:themeColor="text1"/>
          </w:rPr>
          <w:t>.</w:t>
        </w:r>
      </w:hyperlink>
      <w:r w:rsidR="00D7773F" w:rsidRPr="00B43221">
        <w:rPr>
          <w:rFonts w:cstheme="minorHAnsi"/>
          <w:color w:val="000000" w:themeColor="text1"/>
        </w:rPr>
        <w:t xml:space="preserve"> </w:t>
      </w:r>
    </w:p>
  </w:footnote>
  <w:footnote w:id="11">
    <w:p w14:paraId="66337477" w14:textId="7D2A6C7B" w:rsidR="005411C0" w:rsidRPr="00B43221" w:rsidRDefault="005411C0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10" w:history="1">
        <w:r w:rsidRPr="00B43221">
          <w:rPr>
            <w:rStyle w:val="Hipercze"/>
            <w:rFonts w:cstheme="minorHAnsi"/>
            <w:bCs/>
            <w:color w:val="000000" w:themeColor="text1"/>
          </w:rPr>
          <w:t>Decyzja Rady 2014/512/</w:t>
        </w:r>
        <w:proofErr w:type="spellStart"/>
        <w:r w:rsidRPr="00B43221">
          <w:rPr>
            <w:rStyle w:val="Hipercze"/>
            <w:rFonts w:cstheme="minorHAnsi"/>
            <w:bCs/>
            <w:color w:val="000000" w:themeColor="text1"/>
          </w:rPr>
          <w:t>WPZiB</w:t>
        </w:r>
        <w:proofErr w:type="spellEnd"/>
        <w:r w:rsidRPr="00B43221">
          <w:rPr>
            <w:rStyle w:val="Hipercze"/>
            <w:rFonts w:cstheme="minorHAnsi"/>
            <w:bCs/>
            <w:color w:val="000000" w:themeColor="text1"/>
          </w:rPr>
          <w:t xml:space="preserve"> z dnia 31 lipca 2014 r. </w:t>
        </w:r>
        <w:r w:rsidRPr="00B43221">
          <w:rPr>
            <w:rStyle w:val="Hipercze"/>
            <w:rFonts w:cstheme="minorHAnsi"/>
            <w:color w:val="000000" w:themeColor="text1"/>
          </w:rPr>
          <w:t>dotycząca środków ograniczających w związku z działaniami Rosji destabilizującymi sytuację na Ukrainie (Dz. U</w:t>
        </w:r>
        <w:r w:rsidR="00CC3BA9" w:rsidRPr="00B43221">
          <w:rPr>
            <w:rStyle w:val="Hipercze"/>
            <w:rFonts w:cstheme="minorHAnsi"/>
            <w:color w:val="000000" w:themeColor="text1"/>
          </w:rPr>
          <w:t>rz</w:t>
        </w:r>
        <w:r w:rsidRPr="00B43221">
          <w:rPr>
            <w:rStyle w:val="Hipercze"/>
            <w:rFonts w:cstheme="minorHAnsi"/>
            <w:color w:val="000000" w:themeColor="text1"/>
          </w:rPr>
          <w:t>.</w:t>
        </w:r>
        <w:r w:rsidR="00CC3BA9" w:rsidRPr="00B43221">
          <w:rPr>
            <w:rStyle w:val="Hipercze"/>
            <w:rFonts w:cstheme="minorHAnsi"/>
            <w:color w:val="000000" w:themeColor="text1"/>
          </w:rPr>
          <w:t xml:space="preserve"> UE</w:t>
        </w:r>
        <w:r w:rsidRPr="00B43221">
          <w:rPr>
            <w:rStyle w:val="Hipercze"/>
            <w:rFonts w:cstheme="minorHAnsi"/>
            <w:color w:val="000000" w:themeColor="text1"/>
          </w:rPr>
          <w:t xml:space="preserve"> L 229 z 31 lipca 2014 r., s. 13, z </w:t>
        </w:r>
        <w:proofErr w:type="spellStart"/>
        <w:r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Pr="00B43221">
          <w:rPr>
            <w:rStyle w:val="Hipercze"/>
            <w:rFonts w:cstheme="minorHAnsi"/>
            <w:color w:val="000000" w:themeColor="text1"/>
          </w:rPr>
          <w:t>. zm.)</w:t>
        </w:r>
        <w:r w:rsidR="00D7773F" w:rsidRPr="00B43221">
          <w:rPr>
            <w:rStyle w:val="Hipercze"/>
            <w:rFonts w:cstheme="minorHAnsi"/>
            <w:color w:val="000000" w:themeColor="text1"/>
          </w:rPr>
          <w:t>.</w:t>
        </w:r>
      </w:hyperlink>
    </w:p>
  </w:footnote>
  <w:footnote w:id="12">
    <w:p w14:paraId="3E93C6C5" w14:textId="349B29A2" w:rsidR="008E4E74" w:rsidRPr="00B43221" w:rsidRDefault="008E4E74" w:rsidP="00B4322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11" w:history="1">
        <w:r w:rsidR="00CC3BA9" w:rsidRPr="00B43221">
          <w:rPr>
            <w:rStyle w:val="Hipercze"/>
            <w:rFonts w:cstheme="minorHAnsi"/>
            <w:bCs/>
            <w:color w:val="000000" w:themeColor="text1"/>
          </w:rPr>
          <w:t xml:space="preserve">Decyzja Rady </w:t>
        </w:r>
        <w:r w:rsidRPr="00B43221">
          <w:rPr>
            <w:rStyle w:val="Hipercze"/>
            <w:rFonts w:cstheme="minorHAnsi"/>
            <w:bCs/>
            <w:color w:val="000000" w:themeColor="text1"/>
          </w:rPr>
          <w:t>2012/642/</w:t>
        </w:r>
        <w:proofErr w:type="spellStart"/>
        <w:r w:rsidRPr="00B43221">
          <w:rPr>
            <w:rStyle w:val="Hipercze"/>
            <w:rFonts w:cstheme="minorHAnsi"/>
            <w:bCs/>
            <w:color w:val="000000" w:themeColor="text1"/>
          </w:rPr>
          <w:t>WPZiB</w:t>
        </w:r>
        <w:proofErr w:type="spellEnd"/>
        <w:r w:rsidRPr="00B43221">
          <w:rPr>
            <w:rStyle w:val="Hipercze"/>
            <w:rFonts w:cstheme="minorHAnsi"/>
            <w:bCs/>
            <w:color w:val="000000" w:themeColor="text1"/>
          </w:rPr>
          <w:t xml:space="preserve"> z dnia 15 października 2012 r. </w:t>
        </w:r>
        <w:r w:rsidRPr="00B43221">
          <w:rPr>
            <w:rStyle w:val="Hipercze"/>
            <w:rFonts w:cstheme="minorHAnsi"/>
            <w:color w:val="000000" w:themeColor="text1"/>
          </w:rPr>
          <w:t>dotycząca środków ograniczających w związku z sytuacją na Białorusi i udziałem Białorusi w agresji Rosji wobec Ukrainy (Dz. Urz. UE L 285 z 17</w:t>
        </w:r>
        <w:r w:rsidR="00CC3BA9" w:rsidRPr="00B43221">
          <w:rPr>
            <w:rStyle w:val="Hipercze"/>
            <w:rFonts w:cstheme="minorHAnsi"/>
            <w:color w:val="000000" w:themeColor="text1"/>
          </w:rPr>
          <w:t xml:space="preserve"> października </w:t>
        </w:r>
        <w:r w:rsidRPr="00B43221">
          <w:rPr>
            <w:rStyle w:val="Hipercze"/>
            <w:rFonts w:cstheme="minorHAnsi"/>
            <w:color w:val="000000" w:themeColor="text1"/>
          </w:rPr>
          <w:t>2012</w:t>
        </w:r>
        <w:r w:rsidR="00CC3BA9" w:rsidRPr="00B43221">
          <w:rPr>
            <w:rStyle w:val="Hipercze"/>
            <w:rFonts w:cstheme="minorHAnsi"/>
            <w:color w:val="000000" w:themeColor="text1"/>
          </w:rPr>
          <w:t xml:space="preserve"> r.</w:t>
        </w:r>
        <w:r w:rsidRPr="00B43221">
          <w:rPr>
            <w:rStyle w:val="Hipercze"/>
            <w:rFonts w:cstheme="minorHAnsi"/>
            <w:color w:val="000000" w:themeColor="text1"/>
          </w:rPr>
          <w:t>, s. 1</w:t>
        </w:r>
        <w:r w:rsidR="00CC3BA9" w:rsidRPr="00B43221">
          <w:rPr>
            <w:rStyle w:val="Hipercze"/>
            <w:rFonts w:cstheme="minorHAnsi"/>
            <w:color w:val="000000" w:themeColor="text1"/>
          </w:rPr>
          <w:t xml:space="preserve">, z </w:t>
        </w:r>
        <w:proofErr w:type="spellStart"/>
        <w:r w:rsidR="00CC3BA9" w:rsidRPr="00B43221">
          <w:rPr>
            <w:rStyle w:val="Hipercze"/>
            <w:rFonts w:cstheme="minorHAnsi"/>
            <w:color w:val="000000" w:themeColor="text1"/>
          </w:rPr>
          <w:t>późn</w:t>
        </w:r>
        <w:proofErr w:type="spellEnd"/>
        <w:r w:rsidR="00CC3BA9" w:rsidRPr="00B43221">
          <w:rPr>
            <w:rStyle w:val="Hipercze"/>
            <w:rFonts w:cstheme="minorHAnsi"/>
            <w:color w:val="000000" w:themeColor="text1"/>
          </w:rPr>
          <w:t>. zm.</w:t>
        </w:r>
        <w:r w:rsidRPr="00B43221">
          <w:rPr>
            <w:rStyle w:val="Hipercze"/>
            <w:rFonts w:cstheme="minorHAnsi"/>
            <w:color w:val="000000" w:themeColor="text1"/>
          </w:rPr>
          <w:t>)</w:t>
        </w:r>
        <w:r w:rsidR="00D7773F" w:rsidRPr="00B43221">
          <w:rPr>
            <w:rStyle w:val="Hipercze"/>
            <w:rFonts w:cstheme="minorHAnsi"/>
            <w:color w:val="000000" w:themeColor="text1"/>
          </w:rPr>
          <w:t>.</w:t>
        </w:r>
      </w:hyperlink>
      <w:bookmarkStart w:id="0" w:name="_GoBack"/>
      <w:bookmarkEnd w:id="0"/>
    </w:p>
  </w:footnote>
  <w:footnote w:id="13">
    <w:p w14:paraId="57886482" w14:textId="7248A04D" w:rsidR="0099126C" w:rsidRPr="00B43221" w:rsidRDefault="0099126C" w:rsidP="00B43221">
      <w:pPr>
        <w:pStyle w:val="Tekstprzypisudolnego"/>
        <w:spacing w:after="60"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Wnioskodawca wykreśl</w:t>
      </w:r>
      <w:r w:rsidR="0003543C" w:rsidRPr="00B43221">
        <w:rPr>
          <w:rFonts w:cstheme="minorHAnsi"/>
          <w:color w:val="000000" w:themeColor="text1"/>
        </w:rPr>
        <w:t>a</w:t>
      </w:r>
      <w:r w:rsidRPr="00B43221">
        <w:rPr>
          <w:rFonts w:cstheme="minorHAnsi"/>
          <w:color w:val="000000" w:themeColor="text1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B43221" w:rsidRDefault="0099126C" w:rsidP="00B43221">
      <w:pPr>
        <w:pStyle w:val="Tekstprzypisudolnego"/>
        <w:spacing w:after="60" w:line="276" w:lineRule="auto"/>
        <w:rPr>
          <w:color w:val="000000" w:themeColor="text1"/>
        </w:rPr>
      </w:pPr>
      <w:r w:rsidRPr="00B43221">
        <w:rPr>
          <w:rStyle w:val="Odwoanieprzypisudolnego"/>
          <w:color w:val="000000" w:themeColor="text1"/>
        </w:rPr>
        <w:footnoteRef/>
      </w:r>
      <w:r w:rsidRPr="00B43221">
        <w:rPr>
          <w:color w:val="000000" w:themeColor="text1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B43221">
        <w:rPr>
          <w:bCs/>
          <w:color w:val="000000" w:themeColor="text1"/>
        </w:rPr>
        <w:t xml:space="preserve">rozporządzenia Rady </w:t>
      </w:r>
      <w:r w:rsidRPr="00B43221">
        <w:rPr>
          <w:color w:val="000000" w:themeColor="text1"/>
        </w:rPr>
        <w:t xml:space="preserve">(UE) nr 833/2014 (jak w przypisie 6) i art. 1 pkt 17 </w:t>
      </w:r>
      <w:r w:rsidRPr="00B43221">
        <w:rPr>
          <w:bCs/>
          <w:color w:val="000000" w:themeColor="text1"/>
        </w:rPr>
        <w:t>rozporządzenia Rady (WE) nr 765/2006 (jak w przypisie 1).</w:t>
      </w:r>
    </w:p>
  </w:footnote>
  <w:footnote w:id="15">
    <w:p w14:paraId="4C8A2980" w14:textId="77777777" w:rsidR="0099126C" w:rsidRPr="00B43221" w:rsidRDefault="0099126C" w:rsidP="00B43221">
      <w:pPr>
        <w:pStyle w:val="Tekstprzypisudolnego"/>
        <w:spacing w:after="60" w:line="276" w:lineRule="auto"/>
        <w:rPr>
          <w:color w:val="000000" w:themeColor="text1"/>
        </w:rPr>
      </w:pPr>
      <w:r w:rsidRPr="00B43221">
        <w:rPr>
          <w:rStyle w:val="Odwoanieprzypisudolnego"/>
          <w:color w:val="000000" w:themeColor="text1"/>
        </w:rPr>
        <w:footnoteRef/>
      </w:r>
      <w:r w:rsidRPr="00B43221">
        <w:rPr>
          <w:color w:val="000000" w:themeColor="text1"/>
        </w:rPr>
        <w:t xml:space="preserve"> Jeżeli beneficjentem wsparcia jest </w:t>
      </w:r>
      <w:r w:rsidRPr="00B43221">
        <w:rPr>
          <w:bCs/>
          <w:color w:val="000000" w:themeColor="text1"/>
        </w:rPr>
        <w:t>przedsiębiorstwo z sektora MŚP mające siedzibę w Unii.</w:t>
      </w:r>
    </w:p>
  </w:footnote>
  <w:footnote w:id="16">
    <w:p w14:paraId="6B66EACA" w14:textId="77777777" w:rsidR="0099126C" w:rsidRPr="00B43221" w:rsidRDefault="0099126C" w:rsidP="00B43221">
      <w:pPr>
        <w:pStyle w:val="Tekstprzypisudolnego"/>
        <w:spacing w:after="60" w:line="276" w:lineRule="auto"/>
        <w:rPr>
          <w:color w:val="000000" w:themeColor="text1"/>
        </w:rPr>
      </w:pPr>
      <w:r w:rsidRPr="00B43221">
        <w:rPr>
          <w:rStyle w:val="Odwoanieprzypisudolnego"/>
          <w:color w:val="000000" w:themeColor="text1"/>
        </w:rPr>
        <w:footnoteRef/>
      </w:r>
      <w:r w:rsidRPr="00B43221">
        <w:rPr>
          <w:color w:val="000000" w:themeColor="text1"/>
        </w:rPr>
        <w:t xml:space="preserve"> Art. 2e </w:t>
      </w:r>
      <w:r w:rsidRPr="00B43221">
        <w:rPr>
          <w:bCs/>
          <w:color w:val="000000" w:themeColor="text1"/>
        </w:rPr>
        <w:t xml:space="preserve">rozporządzenia Rady </w:t>
      </w:r>
      <w:r w:rsidRPr="00B43221">
        <w:rPr>
          <w:color w:val="000000" w:themeColor="text1"/>
        </w:rPr>
        <w:t xml:space="preserve">(UE) nr 833/2014 (jak w przypisie 6) i art. 1t </w:t>
      </w:r>
      <w:r w:rsidRPr="00B43221">
        <w:rPr>
          <w:bCs/>
          <w:color w:val="000000" w:themeColor="text1"/>
        </w:rPr>
        <w:t>rozporządzenia Rady (WE) nr 765/2006 (jak w przypisie 1).</w:t>
      </w:r>
    </w:p>
  </w:footnote>
  <w:footnote w:id="17">
    <w:p w14:paraId="28D4A986" w14:textId="08A1ACE9" w:rsidR="008A78D5" w:rsidRPr="00B43221" w:rsidRDefault="008A78D5" w:rsidP="00B43221">
      <w:pPr>
        <w:pStyle w:val="Tekstprzypisudolnego"/>
        <w:spacing w:line="276" w:lineRule="auto"/>
        <w:rPr>
          <w:color w:val="000000" w:themeColor="text1"/>
        </w:rPr>
      </w:pPr>
      <w:r w:rsidRPr="00B43221">
        <w:rPr>
          <w:rStyle w:val="Odwoanieprzypisudolnego"/>
          <w:color w:val="000000" w:themeColor="text1"/>
        </w:rPr>
        <w:footnoteRef/>
      </w:r>
      <w:r w:rsidRPr="00B43221">
        <w:rPr>
          <w:color w:val="000000" w:themeColor="text1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B43221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778315792"/>
      <w:docPartObj>
        <w:docPartGallery w:val="Page Numbers (Top of Page)"/>
        <w:docPartUnique/>
      </w:docPartObj>
    </w:sdtPr>
    <w:sdtEndPr/>
    <w:sdtContent>
      <w:p w14:paraId="535D86CF" w14:textId="3497A808" w:rsidR="005268F6" w:rsidRPr="00B43221" w:rsidRDefault="00B43221" w:rsidP="00B43221">
        <w:pPr>
          <w:pStyle w:val="Nagwek"/>
          <w:jc w:val="right"/>
          <w:rPr>
            <w:sz w:val="24"/>
            <w:szCs w:val="24"/>
          </w:rPr>
        </w:pPr>
        <w:r w:rsidRPr="00965B66">
          <w:rPr>
            <w:rFonts w:cstheme="minorHAnsi"/>
            <w:b/>
            <w:noProof/>
            <w:sz w:val="48"/>
            <w:szCs w:val="50"/>
            <w:lang w:eastAsia="pl-PL"/>
          </w:rPr>
          <w:drawing>
            <wp:inline distT="0" distB="0" distL="0" distR="0" wp14:anchorId="4AE938E8" wp14:editId="7038EC27">
              <wp:extent cx="5755005" cy="524510"/>
              <wp:effectExtent l="0" t="0" r="0" b="8890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B43221">
          <w:rPr>
            <w:sz w:val="24"/>
            <w:szCs w:val="24"/>
          </w:rPr>
          <w:fldChar w:fldCharType="begin"/>
        </w:r>
        <w:r w:rsidRPr="00B43221">
          <w:rPr>
            <w:sz w:val="24"/>
            <w:szCs w:val="24"/>
          </w:rPr>
          <w:instrText>PAGE   \* MERGEFORMAT</w:instrText>
        </w:r>
        <w:r w:rsidRPr="00B43221">
          <w:rPr>
            <w:sz w:val="24"/>
            <w:szCs w:val="24"/>
          </w:rPr>
          <w:fldChar w:fldCharType="separate"/>
        </w:r>
        <w:r w:rsidRPr="00B43221">
          <w:rPr>
            <w:sz w:val="24"/>
            <w:szCs w:val="24"/>
          </w:rPr>
          <w:t>2</w:t>
        </w:r>
        <w:r w:rsidRPr="00B4322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8286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D3DB173" w14:textId="13CC892C" w:rsidR="00B43221" w:rsidRPr="001B4A5B" w:rsidRDefault="00B43221" w:rsidP="001B4A5B">
        <w:pPr>
          <w:pStyle w:val="Nagwek"/>
          <w:jc w:val="right"/>
          <w:rPr>
            <w:sz w:val="24"/>
            <w:szCs w:val="24"/>
          </w:rPr>
        </w:pPr>
        <w:r w:rsidRPr="00B43221">
          <w:rPr>
            <w:sz w:val="24"/>
            <w:szCs w:val="24"/>
          </w:rPr>
          <w:fldChar w:fldCharType="begin"/>
        </w:r>
        <w:r w:rsidRPr="00B43221">
          <w:rPr>
            <w:sz w:val="24"/>
            <w:szCs w:val="24"/>
          </w:rPr>
          <w:instrText>PAGE   \* MERGEFORMAT</w:instrText>
        </w:r>
        <w:r w:rsidRPr="00B43221">
          <w:rPr>
            <w:sz w:val="24"/>
            <w:szCs w:val="24"/>
          </w:rPr>
          <w:fldChar w:fldCharType="separate"/>
        </w:r>
        <w:r w:rsidRPr="00B43221">
          <w:rPr>
            <w:sz w:val="24"/>
            <w:szCs w:val="24"/>
          </w:rPr>
          <w:t>2</w:t>
        </w:r>
        <w:r w:rsidRPr="00B4322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B4A5B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43221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64638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6A508-02EF-4665-8DB6-82DB6C6F7E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2538DD-E7F6-4E16-A460-05A1590A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Drebot-Golińska Malwina</cp:lastModifiedBy>
  <cp:revision>4</cp:revision>
  <cp:lastPrinted>2023-06-06T13:13:00Z</cp:lastPrinted>
  <dcterms:created xsi:type="dcterms:W3CDTF">2023-05-31T08:43:00Z</dcterms:created>
  <dcterms:modified xsi:type="dcterms:W3CDTF">2023-06-06T13:14:00Z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