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E793" w14:textId="77777777" w:rsidR="00D11E04" w:rsidRDefault="00D97869">
      <w:pPr>
        <w:spacing w:after="120"/>
      </w:pPr>
      <w:r>
        <w:rPr>
          <w:b/>
          <w:bCs/>
          <w:color w:val="B61928"/>
          <w:sz w:val="32"/>
          <w:szCs w:val="32"/>
        </w:rPr>
        <w:t>SKRÓCONY OPIS BADANIA</w:t>
      </w:r>
    </w:p>
    <w:p w14:paraId="0238C44E" w14:textId="77777777" w:rsidR="00D11E04" w:rsidRDefault="00D97869">
      <w:pPr>
        <w:spacing w:after="240" w:line="276" w:lineRule="auto"/>
      </w:pPr>
      <w:r>
        <w:rPr>
          <w:i/>
          <w:iCs/>
        </w:rPr>
        <w:t>Wsparcie transformacji cyfrowej przedsiębiorstw w Polsce oparte na dowodach. Analityczno-badawcze ramy odniesienia dla programowania funduszy europejskich w Polsce na lata 2028-2034</w:t>
      </w:r>
    </w:p>
    <w:p w14:paraId="56CF85E7" w14:textId="77777777" w:rsidR="00D11E04" w:rsidRDefault="00D97869">
      <w:pPr>
        <w:pStyle w:val="Nagwek2"/>
        <w:keepNext/>
        <w:spacing w:before="280" w:after="140"/>
      </w:pPr>
      <w:r>
        <w:t>1. Podstawowe informacje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D11E04" w14:paraId="06794A94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50D725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Zamawiający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5A8A53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Polska Agencja Rozwoju Przedsiębiorczości (PARP)</w:t>
            </w:r>
          </w:p>
        </w:tc>
      </w:tr>
      <w:tr w:rsidR="00D11E04" w14:paraId="7E510D33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2EBA9F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Źródło finansowania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BA6211" w14:textId="1BF13DC9" w:rsidR="00D11E04" w:rsidRDefault="0084418B">
            <w:pPr>
              <w:spacing w:after="60" w:line="252" w:lineRule="auto"/>
            </w:pPr>
            <w:r>
              <w:rPr>
                <w:sz w:val="20"/>
                <w:szCs w:val="20"/>
              </w:rPr>
              <w:t>Do</w:t>
            </w:r>
            <w:r w:rsidRPr="0084418B">
              <w:rPr>
                <w:sz w:val="20"/>
                <w:szCs w:val="20"/>
              </w:rPr>
              <w:t>tacja podmiotowa FPPP</w:t>
            </w:r>
          </w:p>
        </w:tc>
      </w:tr>
      <w:tr w:rsidR="00D11E04" w14:paraId="7BD1C920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745471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Przedmiot badania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D830B8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Model wsparcia, koordynacji i monitoringu transformacji cyfrowej przedsiębiorstw w Polsce w perspektywie 2028-2034</w:t>
            </w:r>
          </w:p>
        </w:tc>
      </w:tr>
      <w:tr w:rsidR="00D11E04" w14:paraId="71215DF7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1DB900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Rodzaj badania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4F0FE4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Badanie o charakterze ewaluacyjnym (ocena trafności, potencjalnej skuteczności i użyteczności wsparcia) i projektowym (model ścieżek wsparcia, założenia monitoringu, rekomendacje wdrożeniowe) – punkt wyjścia do programowania perspektywy 2028-2034</w:t>
            </w:r>
          </w:p>
        </w:tc>
      </w:tr>
      <w:tr w:rsidR="00D11E04" w14:paraId="6C069442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1EB927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Charakter badania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B1E0B7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Mieszany, sekwencyjny: analiza danych zastanych z aktualizacją mapowania instrumentów (w tym przegląd instrumentów zagranicznych), IDI z interesariuszami systemu wsparcia, badanie ilościowe MMŚP (CATI/CAWI, n = 1 000) z badaniem uzupełniającym dojrzałości cyfrowej (CAWI, n = 200), studia przypadków przedsiębiorstw (12-16), synteza z profilami użytkowników i mapami ścieżek, 2 warsztaty podsumowujące.</w:t>
            </w:r>
          </w:p>
        </w:tc>
      </w:tr>
      <w:tr w:rsidR="00D11E04" w14:paraId="76FFEA34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72A8A1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Okres realizacji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BBFDA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Raport końcowy w wersji końcowej do 68 tygodni od podpisania umowy; wsparcie Zamawiającego (asysta) w tygodniach 69-84; bufor bezpieczeństwa do 98 tygodnia (do końca 2028 r.). Przewidywany termin podpisania umowy: 15 lutego 2027 r. (orientacyjnie).</w:t>
            </w:r>
          </w:p>
        </w:tc>
      </w:tr>
      <w:tr w:rsidR="00D11E04" w14:paraId="0850B846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C8BF9B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Zakres wyceny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6B7AB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Całość zamówienia – etapy 1-9 oraz asysta</w:t>
            </w:r>
          </w:p>
        </w:tc>
      </w:tr>
    </w:tbl>
    <w:p w14:paraId="1BBA029D" w14:textId="77777777" w:rsidR="00D11E04" w:rsidRDefault="00D97869">
      <w:pPr>
        <w:pStyle w:val="Nagwek2"/>
        <w:keepNext/>
        <w:spacing w:before="280" w:after="140"/>
      </w:pPr>
      <w:r>
        <w:t>2. Przedmiot badania</w:t>
      </w:r>
    </w:p>
    <w:p w14:paraId="4A0308D1" w14:textId="3FDC09AD" w:rsidR="00D11E04" w:rsidRDefault="00D97869">
      <w:pPr>
        <w:spacing w:after="120" w:line="276" w:lineRule="auto"/>
      </w:pPr>
      <w:r>
        <w:t>Przedmiotem badania jest wsparci</w:t>
      </w:r>
      <w:r w:rsidR="00696926">
        <w:t>e</w:t>
      </w:r>
      <w:r>
        <w:t xml:space="preserve"> transformacji cyfrowej przedsiębiorstw w Polsce – </w:t>
      </w:r>
      <w:r w:rsidR="00696926">
        <w:t xml:space="preserve">rozumiane </w:t>
      </w:r>
      <w:r>
        <w:t>jako zbiór instrumentów, instytucji, zasad, procedur i danych – oraz jego przyszły kształt w perspektywie 2028-2034.</w:t>
      </w:r>
    </w:p>
    <w:p w14:paraId="71761436" w14:textId="77777777" w:rsidR="00D11E04" w:rsidRDefault="00D97869">
      <w:pPr>
        <w:spacing w:after="120" w:line="276" w:lineRule="auto"/>
      </w:pPr>
      <w:r>
        <w:t xml:space="preserve">Punktem wyjścia jest raport PARP </w:t>
      </w:r>
      <w:r>
        <w:rPr>
          <w:b/>
          <w:bCs/>
        </w:rPr>
        <w:t>„Mapowanie inicjatyw wsparcia w zakresie cyfryzacji przedsiębiorstw w Polsce”</w:t>
      </w:r>
      <w:r>
        <w:t xml:space="preserve"> (przełom 2025 i 2026 r.), który wskazał m.in.:</w:t>
      </w:r>
    </w:p>
    <w:p w14:paraId="59F25719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szerokie formalne pokrycie obszarów cyfryzacji przy zróżnicowanej intensywności wsparcia,</w:t>
      </w:r>
    </w:p>
    <w:p w14:paraId="4104411C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koncentrację instrumentów na niższych poziomach dojrzałości cyfrowej i ograniczoną obecność narzędzi wspierających przejście na wyższe poziomy (AI, automatyzacja, cyberbezpieczeństwo, dane),</w:t>
      </w:r>
    </w:p>
    <w:p w14:paraId="5B429FA5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rozproszenie instrumentów i brak czytelnych ścieżek wsparcia dla beneficjentów,</w:t>
      </w:r>
    </w:p>
    <w:p w14:paraId="25F359EE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niewystarczające wykorzystanie narzędzi diagnostycznych (ocena dojrzałości cyfrowej, audyty technologiczne, diagnozy cyberbezpieczeństwa),</w:t>
      </w:r>
    </w:p>
    <w:p w14:paraId="03CDC2E7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brak spójnego modelu koordynacji i monitorowania systemu jako całości.</w:t>
      </w:r>
    </w:p>
    <w:p w14:paraId="07BAB751" w14:textId="19395D35" w:rsidR="00D11E04" w:rsidRDefault="00D97869">
      <w:pPr>
        <w:spacing w:after="160" w:line="276" w:lineRule="auto"/>
      </w:pPr>
      <w:r>
        <w:lastRenderedPageBreak/>
        <w:t xml:space="preserve">Wykonawca otrzyma od Zamawiającego raport z mapowania oraz dane pozyskane w ramach </w:t>
      </w:r>
      <w:r>
        <w:rPr>
          <w:b/>
          <w:bCs/>
        </w:rPr>
        <w:t>Ewaluacji efektów wsparcia FENG na cyfryzację i zazielenienie oraz rozwój kompetencji pracowników przedsiębiorstw</w:t>
      </w:r>
      <w:r>
        <w:t xml:space="preserve"> (moduł dot. cyfryzacji) – źródło danych o beneficjentach obecnej perspektywy</w:t>
      </w:r>
      <w:r w:rsidR="00124E3A">
        <w:t xml:space="preserve"> </w:t>
      </w:r>
      <w:r w:rsidR="00124E3A" w:rsidRPr="00124E3A">
        <w:t>(projekt na etapie wyboru wykonawcy). W niniejszym badaniu mają być zbierane dane o przedsiębiorstwach niekorzystających ze wsparcia</w:t>
      </w:r>
      <w:r>
        <w:t xml:space="preserve">. </w:t>
      </w:r>
    </w:p>
    <w:p w14:paraId="21175606" w14:textId="77777777" w:rsidR="00D11E04" w:rsidRDefault="00D97869">
      <w:pPr>
        <w:pStyle w:val="Nagwek2"/>
        <w:keepNext/>
        <w:spacing w:before="280" w:after="140"/>
      </w:pPr>
      <w:r>
        <w:t>3. Cel główny i cele szczegółowe</w:t>
      </w:r>
    </w:p>
    <w:p w14:paraId="174BF57B" w14:textId="5E157EDC" w:rsidR="00D11E04" w:rsidRDefault="00D97869">
      <w:pPr>
        <w:spacing w:after="120" w:line="276" w:lineRule="auto"/>
      </w:pPr>
      <w:r>
        <w:t>Celem głównym jest opracowanie rekomendacji dotyczących operacjonalizacji wsparcia transformacji cyfrowej przedsiębiorstw w Polsce w perspektywie 2028-2034 – obejmujących propozycje nowych lub zmodyfikowanych instrumentów, portfeli (grup) instrumentów i ich synchronizacji oraz sposobów zwiększania wpływu wsparcia publicznego</w:t>
      </w:r>
      <w:r w:rsidR="00C46604">
        <w:t xml:space="preserve"> cyfryzacji przedsiębiorstw</w:t>
      </w:r>
      <w:r>
        <w:t xml:space="preserve"> na konkurencyjność gospodarki. </w:t>
      </w:r>
    </w:p>
    <w:p w14:paraId="5815263B" w14:textId="77777777" w:rsidR="00D11E04" w:rsidRDefault="00D97869">
      <w:pPr>
        <w:spacing w:after="60" w:line="276" w:lineRule="auto"/>
      </w:pPr>
      <w:r>
        <w:rPr>
          <w:b/>
          <w:bCs/>
        </w:rPr>
        <w:t>Cele szczegółowe:</w:t>
      </w:r>
    </w:p>
    <w:p w14:paraId="3E688844" w14:textId="168A771F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aktualizacja i syntetyczne uporządkowanie wiedzy o </w:t>
      </w:r>
      <w:r w:rsidR="00C26B07">
        <w:t>wsparciu transformacji cyfrowej przedsiębiorstw, z wykorzystaniem wyników dotychczasowego mapowania oraz aktualnych opracowań naukowych, badawczych i programowych</w:t>
      </w:r>
      <w:r>
        <w:t>,</w:t>
      </w:r>
    </w:p>
    <w:p w14:paraId="4B406295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weryfikacja ustaleń mapowania z perspektywy użytkowników systemu (IOB, przedsiębiorstwa o różnej dojrzałości cyfrowej),</w:t>
      </w:r>
    </w:p>
    <w:p w14:paraId="0012CBB8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weryfikacja ustaleń mapowania z perspektywy interesariuszy instytucjonalnych,</w:t>
      </w:r>
    </w:p>
    <w:p w14:paraId="6C1E004C" w14:textId="71DB76B9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określenie optymalnej logiki ścieżek wsparcia </w:t>
      </w:r>
      <w:r w:rsidR="00C26B07" w:rsidRPr="003C1CDF">
        <w:t>transformacji cyfrowej przedsiębiorstw, obejmującej diagnozę, rozwój kompetencji, wdrożenia technologiczne, skalowanie rozwiązań oraz utrzymanie efektów</w:t>
      </w:r>
      <w:r>
        <w:t>,</w:t>
      </w:r>
    </w:p>
    <w:p w14:paraId="55FE5520" w14:textId="13B34C16" w:rsidR="00D11E04" w:rsidRDefault="00C26B07">
      <w:pPr>
        <w:pStyle w:val="Akapitzlist"/>
        <w:numPr>
          <w:ilvl w:val="0"/>
          <w:numId w:val="2"/>
        </w:numPr>
        <w:spacing w:after="80" w:line="276" w:lineRule="auto"/>
      </w:pPr>
      <w:r w:rsidRPr="00CE5EA8">
        <w:t>określenie, w jakim zakresie przyszły system wsparcia powinien obejmować instrumenty ukierunkowane na upowszechnianie i wdrażanie istniejących technologii cyfrowych, a w jakim na rozwój, testowanie, komercjalizację i skalowanie nowych produktów, usług, procesów lub technologii cyfrowych o potencjale gospodarczym i konkurencyjnym,</w:t>
      </w:r>
    </w:p>
    <w:p w14:paraId="19149B4C" w14:textId="7A1EC510" w:rsidR="00D11E04" w:rsidRDefault="00C26B07">
      <w:pPr>
        <w:pStyle w:val="Akapitzlist"/>
        <w:numPr>
          <w:ilvl w:val="0"/>
          <w:numId w:val="2"/>
        </w:numPr>
        <w:spacing w:after="80" w:line="276" w:lineRule="auto"/>
      </w:pPr>
      <w:r>
        <w:t>zidentyfikowanie i uporządkowanie zasad efektywnego ukierunkowania wsparcia publicznego do przedsiębiorstw, z uwzględnieniem różnic w poziomie dojrzałości cyfrowej, skali działalności, branży, potencjale rozwojowym i znaczeniu cyfryzacji dla konkurencyjności</w:t>
      </w:r>
      <w:r w:rsidR="00D97869">
        <w:t>,</w:t>
      </w:r>
    </w:p>
    <w:p w14:paraId="469670F3" w14:textId="06F23004" w:rsidR="00D11E04" w:rsidRDefault="00C26B07">
      <w:pPr>
        <w:pStyle w:val="Akapitzlist"/>
        <w:numPr>
          <w:ilvl w:val="0"/>
          <w:numId w:val="2"/>
        </w:numPr>
        <w:spacing w:after="80" w:line="276" w:lineRule="auto"/>
      </w:pPr>
      <w:r>
        <w:t>jakie wskaźniki będą adekwatne do monitorowania efektów wsparcia cyfryzacji w programie wsparcia cyfryzacji przedsiębiorstw oraz w różnych grupach (portfelach) instrumentów lub pojedynczych instrumentach.</w:t>
      </w:r>
    </w:p>
    <w:p w14:paraId="5994EC4B" w14:textId="77777777" w:rsidR="00D11E04" w:rsidRDefault="00D97869">
      <w:pPr>
        <w:pStyle w:val="Nagwek2"/>
        <w:keepNext/>
        <w:spacing w:before="280" w:after="140"/>
      </w:pPr>
      <w:r>
        <w:t>4. Pytania badawcze (skrót)</w:t>
      </w:r>
    </w:p>
    <w:p w14:paraId="4139D76E" w14:textId="77777777" w:rsidR="00D11E04" w:rsidRDefault="00D97869">
      <w:pPr>
        <w:spacing w:after="120" w:line="276" w:lineRule="auto"/>
      </w:pPr>
      <w:r>
        <w:t>OPZ zawiera pytanie główne (projekt i operacjonalizacja wsparcia 2028-2034 oraz wskaźniki monitorowania postępu transformacji) i 8 pytań szczegółowych, każde z zestawem zagadnień do ustalenia.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000"/>
        <w:gridCol w:w="5038"/>
      </w:tblGrid>
      <w:tr w:rsidR="00D11E04" w14:paraId="22A84910" w14:textId="77777777">
        <w:trPr>
          <w:tblHeader/>
        </w:trPr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B6192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0A7D29" w14:textId="77777777" w:rsidR="00D11E04" w:rsidRDefault="00D97869"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Nr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B6192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7084CF" w14:textId="77777777" w:rsidR="00D11E04" w:rsidRDefault="00D97869">
            <w:r>
              <w:rPr>
                <w:b/>
                <w:bCs/>
                <w:color w:val="FFFFFF"/>
                <w:sz w:val="20"/>
                <w:szCs w:val="20"/>
              </w:rPr>
              <w:t>Pytanie szczegółowe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B6192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A3B6CB" w14:textId="77777777" w:rsidR="00D11E04" w:rsidRDefault="00D97869">
            <w:r>
              <w:rPr>
                <w:b/>
                <w:bCs/>
                <w:color w:val="FFFFFF"/>
                <w:sz w:val="20"/>
                <w:szCs w:val="20"/>
              </w:rPr>
              <w:t>Główne zagadnienia</w:t>
            </w:r>
          </w:p>
        </w:tc>
      </w:tr>
      <w:tr w:rsidR="00D11E04" w14:paraId="4F352589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07B0F2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1C0E5B" w14:textId="1BD820E4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Na ile </w:t>
            </w:r>
            <w:r w:rsidR="004B257F">
              <w:rPr>
                <w:sz w:val="20"/>
                <w:szCs w:val="20"/>
              </w:rPr>
              <w:t xml:space="preserve">dotychczasowe </w:t>
            </w:r>
            <w:r>
              <w:rPr>
                <w:sz w:val="20"/>
                <w:szCs w:val="20"/>
              </w:rPr>
              <w:t>ustalenia z mapowania i aktualna wiedza</w:t>
            </w:r>
            <w:r w:rsidR="004B257F">
              <w:rPr>
                <w:sz w:val="20"/>
                <w:szCs w:val="20"/>
              </w:rPr>
              <w:t xml:space="preserve"> naukowo-badawcza stanowią</w:t>
            </w:r>
            <w:r>
              <w:rPr>
                <w:sz w:val="20"/>
                <w:szCs w:val="20"/>
              </w:rPr>
              <w:t xml:space="preserve"> wystarczającą podstaw</w:t>
            </w:r>
            <w:r w:rsidR="004B257F">
              <w:rPr>
                <w:sz w:val="20"/>
                <w:szCs w:val="20"/>
              </w:rPr>
              <w:t>ę</w:t>
            </w:r>
            <w:r>
              <w:rPr>
                <w:sz w:val="20"/>
                <w:szCs w:val="20"/>
              </w:rPr>
              <w:t xml:space="preserve"> do projektowania</w:t>
            </w:r>
            <w:r w:rsidR="004B257F">
              <w:rPr>
                <w:sz w:val="20"/>
                <w:szCs w:val="20"/>
              </w:rPr>
              <w:t xml:space="preserve"> zestawu efektywnych</w:t>
            </w:r>
            <w:r>
              <w:rPr>
                <w:sz w:val="20"/>
                <w:szCs w:val="20"/>
              </w:rPr>
              <w:t xml:space="preserve"> instrumentów </w:t>
            </w:r>
            <w:r w:rsidR="004B257F">
              <w:rPr>
                <w:sz w:val="20"/>
                <w:szCs w:val="20"/>
              </w:rPr>
              <w:t xml:space="preserve">wsparcia transformacji cyfrowej przedsiębiorstw w perspektywie </w:t>
            </w:r>
            <w:r>
              <w:rPr>
                <w:sz w:val="20"/>
                <w:szCs w:val="20"/>
              </w:rPr>
              <w:t>2028-2034?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5F75C1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Aktualność wniosków z mapowania; nowe uwarunkowania strategiczne, technologiczne, regulacyjne i rynkowe.</w:t>
            </w:r>
          </w:p>
        </w:tc>
      </w:tr>
      <w:tr w:rsidR="00D11E04" w14:paraId="66A8317A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EDC9F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6AEB37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Na ile obecne wsparcie odpowiada na rzeczywiste potrzeby przedsiębiorstw?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CE83EF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Potrzeby wg dojrzałości, wielkości, branży, doświadczeń; bariery korzystania ze wsparcia; oczekiwany typ wsparcia.</w:t>
            </w:r>
          </w:p>
        </w:tc>
      </w:tr>
      <w:tr w:rsidR="00D11E04" w14:paraId="04A798CA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7F045D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D744F7" w14:textId="23B1025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Jaka jest optymalna ścieżka wsparcia transformacji cyfrowej</w:t>
            </w:r>
            <w:r w:rsidR="004B257F">
              <w:rPr>
                <w:sz w:val="20"/>
                <w:szCs w:val="20"/>
              </w:rPr>
              <w:t xml:space="preserve"> przedsiębiorstw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7DA820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Etapy ścieżki; przejścia między etapami; bariery sekwencji instrumentów; trwałość zmiany vs pojedynczy zakup.</w:t>
            </w:r>
          </w:p>
        </w:tc>
      </w:tr>
      <w:tr w:rsidR="00D11E04" w14:paraId="50FB9C02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9D2399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6B707D" w14:textId="7A9B59C1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Na ile</w:t>
            </w:r>
            <w:r w:rsidR="004B257F">
              <w:rPr>
                <w:sz w:val="20"/>
                <w:szCs w:val="20"/>
              </w:rPr>
              <w:t xml:space="preserve"> poszczególne</w:t>
            </w:r>
            <w:r>
              <w:rPr>
                <w:sz w:val="20"/>
                <w:szCs w:val="20"/>
              </w:rPr>
              <w:t xml:space="preserve"> modele instrumentów</w:t>
            </w:r>
            <w:r w:rsidR="004B257F">
              <w:rPr>
                <w:sz w:val="20"/>
                <w:szCs w:val="20"/>
              </w:rPr>
              <w:t xml:space="preserve"> wsparcia</w:t>
            </w:r>
            <w:r>
              <w:rPr>
                <w:sz w:val="20"/>
                <w:szCs w:val="20"/>
              </w:rPr>
              <w:t xml:space="preserve"> (PL i </w:t>
            </w:r>
            <w:r w:rsidR="00CE5EA8">
              <w:rPr>
                <w:sz w:val="20"/>
                <w:szCs w:val="20"/>
              </w:rPr>
              <w:t>zagranica) mogą</w:t>
            </w:r>
            <w:r w:rsidR="004B257F">
              <w:rPr>
                <w:sz w:val="20"/>
                <w:szCs w:val="20"/>
              </w:rPr>
              <w:t xml:space="preserve"> być</w:t>
            </w:r>
            <w:r>
              <w:rPr>
                <w:sz w:val="20"/>
                <w:szCs w:val="20"/>
              </w:rPr>
              <w:t xml:space="preserve"> adekwatne do różnych poziomów dojrzałości </w:t>
            </w:r>
            <w:r w:rsidR="004B257F">
              <w:rPr>
                <w:sz w:val="20"/>
                <w:szCs w:val="20"/>
              </w:rPr>
              <w:t>cyfrowej,</w:t>
            </w:r>
            <w:r>
              <w:rPr>
                <w:sz w:val="20"/>
                <w:szCs w:val="20"/>
              </w:rPr>
              <w:t xml:space="preserve"> potencjału </w:t>
            </w:r>
            <w:r w:rsidR="004B257F">
              <w:rPr>
                <w:sz w:val="20"/>
                <w:szCs w:val="20"/>
              </w:rPr>
              <w:t>rozwojowego i potrzeb przedsiębiorstw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C71EF5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Brakujące typy instrumentów; instrumenty do modyfikacji lub powiązania; instrumenty wynikające z nowych wymogów regulacyjnych i rynkowych.</w:t>
            </w:r>
          </w:p>
        </w:tc>
      </w:tr>
      <w:tr w:rsidR="00D11E04" w14:paraId="4C5ED444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9CCE11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9A5E1C" w14:textId="3A2EE091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Co sprzyja </w:t>
            </w:r>
            <w:r w:rsidR="004B257F">
              <w:rPr>
                <w:sz w:val="20"/>
                <w:szCs w:val="20"/>
              </w:rPr>
              <w:t xml:space="preserve">zwiększeniu </w:t>
            </w:r>
            <w:r>
              <w:rPr>
                <w:sz w:val="20"/>
                <w:szCs w:val="20"/>
              </w:rPr>
              <w:t>skuteczności</w:t>
            </w:r>
            <w:r w:rsidR="004B257F">
              <w:rPr>
                <w:sz w:val="20"/>
                <w:szCs w:val="20"/>
              </w:rPr>
              <w:t xml:space="preserve"> (rezultatów)</w:t>
            </w:r>
            <w:r>
              <w:rPr>
                <w:sz w:val="20"/>
                <w:szCs w:val="20"/>
              </w:rPr>
              <w:t xml:space="preserve"> i efektowności</w:t>
            </w:r>
            <w:r w:rsidR="004B257F">
              <w:rPr>
                <w:sz w:val="20"/>
                <w:szCs w:val="20"/>
              </w:rPr>
              <w:t xml:space="preserve"> (wartości dodanej w odniesieniu do nakładów)</w:t>
            </w:r>
            <w:r>
              <w:rPr>
                <w:sz w:val="20"/>
                <w:szCs w:val="20"/>
              </w:rPr>
              <w:t xml:space="preserve"> wsparcia</w:t>
            </w:r>
            <w:r w:rsidR="004B257F">
              <w:rPr>
                <w:sz w:val="20"/>
                <w:szCs w:val="20"/>
              </w:rPr>
              <w:t xml:space="preserve"> publicznego przedsiębiorstw w obszarze cyfryzacji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191C48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Grupy o najwyższej wartości dodanej; grupy ryzyka niskiej efektywności; projektowanie pod kolejne inwestycje cyfrowe.</w:t>
            </w:r>
          </w:p>
        </w:tc>
      </w:tr>
      <w:tr w:rsidR="00D11E04" w14:paraId="00A16AA9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0213EF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C3B2DC" w14:textId="23205FD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Jaką rolę mogą pełnić narzędzia diagnostyczne</w:t>
            </w:r>
            <w:r w:rsidR="004B257F">
              <w:rPr>
                <w:sz w:val="20"/>
                <w:szCs w:val="20"/>
              </w:rPr>
              <w:t xml:space="preserve"> w kierowaniu przedsiębiorstw na właściwe ścieżki wsparcia? Jakie narzędzia warto stosować i jakie mogą one pełnić funkcje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B15F4B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Diagnoza jako warunek wejścia, etap obligatoryjny lub fakultatywny; typy narzędzi; powiązanie wyniku diagnozy z doborem instrumentu.</w:t>
            </w:r>
          </w:p>
        </w:tc>
      </w:tr>
      <w:tr w:rsidR="00D11E04" w14:paraId="2505384D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858187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C6F15B" w14:textId="1D9DC453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Jakie wskaźniki </w:t>
            </w:r>
            <w:r w:rsidR="002713C0">
              <w:rPr>
                <w:sz w:val="20"/>
                <w:szCs w:val="20"/>
              </w:rPr>
              <w:t xml:space="preserve">można wykorzystać do </w:t>
            </w:r>
            <w:r>
              <w:rPr>
                <w:sz w:val="20"/>
                <w:szCs w:val="20"/>
              </w:rPr>
              <w:t xml:space="preserve">monitorowania </w:t>
            </w:r>
            <w:r w:rsidR="002713C0">
              <w:rPr>
                <w:sz w:val="20"/>
                <w:szCs w:val="20"/>
              </w:rPr>
              <w:t>cyfrowych zmian transformacyjnych w przedsiębiorstwach i gospodarce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262924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Wskaźniki realnej transformacji; wpływ na produktywność, konkurencyjność, odporność, łańcuchy wartości, skalowanie; rozwój mapowania jako narzędzia zarządczego.</w:t>
            </w:r>
          </w:p>
        </w:tc>
      </w:tr>
      <w:tr w:rsidR="00D11E04" w14:paraId="740B531F" w14:textId="77777777">
        <w:tc>
          <w:tcPr>
            <w:tcW w:w="6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4D9CF1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0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8AA184" w14:textId="462B3074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Jakie rozwiązania</w:t>
            </w:r>
            <w:r w:rsidR="002713C0">
              <w:rPr>
                <w:sz w:val="20"/>
                <w:szCs w:val="20"/>
              </w:rPr>
              <w:t xml:space="preserve"> (np. typy instrumentów)</w:t>
            </w:r>
            <w:r>
              <w:rPr>
                <w:sz w:val="20"/>
                <w:szCs w:val="20"/>
              </w:rPr>
              <w:t xml:space="preserve"> i warunki </w:t>
            </w:r>
            <w:r w:rsidR="002713C0">
              <w:rPr>
                <w:sz w:val="20"/>
                <w:szCs w:val="20"/>
              </w:rPr>
              <w:t xml:space="preserve">ich </w:t>
            </w:r>
            <w:r>
              <w:rPr>
                <w:sz w:val="20"/>
                <w:szCs w:val="20"/>
              </w:rPr>
              <w:t xml:space="preserve">wdrożenia </w:t>
            </w:r>
            <w:r w:rsidR="002713C0">
              <w:rPr>
                <w:sz w:val="20"/>
                <w:szCs w:val="20"/>
              </w:rPr>
              <w:t xml:space="preserve">(np. grupa docelowa, kryteria wejścia) warto </w:t>
            </w:r>
            <w:r>
              <w:rPr>
                <w:sz w:val="20"/>
                <w:szCs w:val="20"/>
              </w:rPr>
              <w:t>rekomendować</w:t>
            </w:r>
            <w:r w:rsidR="002713C0">
              <w:rPr>
                <w:sz w:val="20"/>
                <w:szCs w:val="20"/>
              </w:rPr>
              <w:t xml:space="preserve"> dla wsparcia transformacji cyfrowej przedsiębiorstw w perspektywie 2028-2034 w Polsce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50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63283C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Nowe instrumenty; instrumenty do modyfikacji, ograniczenia, rozwinięcia lub powiązania.</w:t>
            </w:r>
          </w:p>
        </w:tc>
      </w:tr>
    </w:tbl>
    <w:p w14:paraId="7180B77B" w14:textId="77777777" w:rsidR="00D11E04" w:rsidRDefault="00D97869">
      <w:pPr>
        <w:pStyle w:val="Nagwek2"/>
        <w:keepNext/>
        <w:spacing w:before="280" w:after="140"/>
      </w:pPr>
      <w:r>
        <w:t>5. Metodologia – wymagane techniki badawcze</w:t>
      </w:r>
    </w:p>
    <w:p w14:paraId="720BE730" w14:textId="77777777" w:rsidR="00D11E04" w:rsidRDefault="00D97869">
      <w:pPr>
        <w:spacing w:after="120" w:line="276" w:lineRule="auto"/>
      </w:pPr>
      <w:r>
        <w:t>Badanie sekwencyjne i oparte na triangulacji: wyniki analizy danych zastanych zasilają badania jakościowe i ilościowe, badanie ilościowe określa skalę i zróżnicowanie zjawisk, IDI i studia przypadków wyjaśniają mechanizmy. Wykonawca może doprecyzować metodologię w raporcie metodologicznym (za akceptacją Zamawiającego), lecz nie może rezygnować z etapów ani zawężać zakresu.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D11E04" w14:paraId="40C9277F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B0FFDE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Spotkanie kick-off (n = 1)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54C2FD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Do 2 tygodni od podpisania umowy; forma zdalna, stacjonarna (siedziba PARP) lub hybrydowa – decyzja Zamawiającego. Ok. 120 minut. Udział </w:t>
            </w:r>
            <w:r>
              <w:rPr>
                <w:b/>
                <w:bCs/>
                <w:sz w:val="20"/>
                <w:szCs w:val="20"/>
              </w:rPr>
              <w:t>wszystkich członków zespołu badawczego</w:t>
            </w:r>
            <w:r>
              <w:rPr>
                <w:sz w:val="20"/>
                <w:szCs w:val="20"/>
              </w:rPr>
              <w:t xml:space="preserve"> Wykonawcy (nieobecność dopuszczalna wyłącznie w </w:t>
            </w:r>
            <w:r>
              <w:rPr>
                <w:sz w:val="20"/>
                <w:szCs w:val="20"/>
              </w:rPr>
              <w:lastRenderedPageBreak/>
              <w:t>przypadku siły wyższej). Wykonawca prezentuje rozumienie celów i pytań, wstępny harmonogram, zespół i role. Spotkanie nagrywane, transkrypcja udostępniana stronom. Produkt: notatka do 5 stron, w ciągu 2 dni roboczych.</w:t>
            </w:r>
          </w:p>
        </w:tc>
      </w:tr>
      <w:tr w:rsidR="00D11E04" w14:paraId="4F50DFFE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FD06D4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Analiza danych zastanych i aktualizacja mapowania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FBEF19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Źródła 1 rodzaju</w:t>
            </w:r>
            <w:r>
              <w:rPr>
                <w:sz w:val="20"/>
                <w:szCs w:val="20"/>
              </w:rPr>
              <w:t xml:space="preserve"> – dokumenty strategiczne UE i PL, dokumenty programowe 2021-2027, dostępne założenia 2028-2034 (poziom KE i krajowy/regionalny), regulacje (AI, dane, cyberbezpieczeństwo, raportowanie, odporność), raporty i ewaluacje, publikacje naukowe, raporty KE, OECD, JRC, Eurostatu, Banku Światowego. Wymagane kryteria włączenia/wyłączenia źródeł oraz </w:t>
            </w:r>
            <w:r>
              <w:rPr>
                <w:b/>
                <w:bCs/>
                <w:sz w:val="20"/>
                <w:szCs w:val="20"/>
              </w:rPr>
              <w:t>tabela przeglądu</w:t>
            </w:r>
            <w:r>
              <w:rPr>
                <w:sz w:val="20"/>
                <w:szCs w:val="20"/>
              </w:rPr>
              <w:t xml:space="preserve"> (źródło, rok, zakres, metodologia, ustalenia, znaczenie, wnioski).</w:t>
            </w:r>
          </w:p>
          <w:p w14:paraId="64106420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Źródła 2 rodzaju</w:t>
            </w:r>
            <w:r>
              <w:rPr>
                <w:sz w:val="20"/>
                <w:szCs w:val="20"/>
              </w:rPr>
              <w:t xml:space="preserve"> – aktualizacja i rozszerzenie mapowania: instrumenty krajowe dotąd nieanalizowane, regionalne i unijne dostępne dla polskich firm; </w:t>
            </w:r>
            <w:r>
              <w:rPr>
                <w:b/>
                <w:bCs/>
                <w:sz w:val="20"/>
                <w:szCs w:val="20"/>
              </w:rPr>
              <w:t>przegląd instrumentów zagranicznych w ok. 10 krajach, w tym 3 spoza UE</w:t>
            </w:r>
            <w:r>
              <w:rPr>
                <w:sz w:val="20"/>
                <w:szCs w:val="20"/>
              </w:rPr>
              <w:t xml:space="preserve"> (lista krajów z uzasadnieniem do akceptacji Zamawiającego przed rozpoczęciem przeglądu). Dla każdego instrumentu: instytucja, grupa docelowa, typ wsparcia, poziom dojrzałości na wejściu i po interwencji, obszar technologiczny, wskaźniki, luki i nakładanie się.</w:t>
            </w:r>
          </w:p>
          <w:p w14:paraId="63DE1BDB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Źródła 3 rodzaju</w:t>
            </w:r>
            <w:r>
              <w:rPr>
                <w:sz w:val="20"/>
                <w:szCs w:val="20"/>
              </w:rPr>
              <w:t xml:space="preserve"> – dane administracyjne i monitoringowe (beneficjenci, produkty i rezultaty, GUS, Eurostat, Digital Decade/DESI, dane o produktywności, eksporcie, zatrudnieniu itp.) – ocena dostępności danych i luk informacyjnych.</w:t>
            </w:r>
          </w:p>
          <w:p w14:paraId="5ADF808A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Źródła 4 rodzaju</w:t>
            </w:r>
            <w:r>
              <w:rPr>
                <w:sz w:val="20"/>
                <w:szCs w:val="20"/>
              </w:rPr>
              <w:t xml:space="preserve"> – metody i wyniki pomiaru dojrzałości cyfrowej (np. ADMA, DMAT) jako podstawa konstrukcji narzędzi ilościowych.</w:t>
            </w:r>
          </w:p>
          <w:p w14:paraId="4B53221F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Produkt: raport z analizy danych zastanych (do 50 stron, ok. 1 800 znaków/str.) jako aneks do raportu końcowego.</w:t>
            </w:r>
          </w:p>
        </w:tc>
      </w:tr>
      <w:tr w:rsidR="00D11E04" w14:paraId="5C60BA32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AE0037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IDI z interesariuszami (n = 16 + pula 15)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4B423A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Dobór celowy. Przedstawiciele EDIH – 4; klastrów – 2; ośrodków innowacji i IOB – 3; organizacji przedsiębiorców – 3; eksperci (cyfryzacja, AI, dane, cyberbezpieczeństwo, automatyzacja, instrumenty finansowe, monitoring polityk) – 4.</w:t>
            </w:r>
          </w:p>
          <w:p w14:paraId="64389BD6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Dodatkowa pula </w:t>
            </w:r>
            <w:r>
              <w:rPr>
                <w:b/>
                <w:bCs/>
                <w:sz w:val="20"/>
                <w:szCs w:val="20"/>
              </w:rPr>
              <w:t>15 IDI</w:t>
            </w:r>
            <w:r>
              <w:rPr>
                <w:sz w:val="20"/>
                <w:szCs w:val="20"/>
              </w:rPr>
              <w:t xml:space="preserve"> do wykorzystania w razie ujawnienia się potrzeb badawczych (m.in. pogłębienie tematu w instytucjach pełniących kilka ról).</w:t>
            </w:r>
          </w:p>
          <w:p w14:paraId="6ABF48B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IDI mogą służyć także identyfikacji firm do studiów przypadków.</w:t>
            </w:r>
          </w:p>
          <w:p w14:paraId="47567F5C" w14:textId="5BDB021D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Czas trwania i forma wywiadów: </w:t>
            </w:r>
            <w:r w:rsidR="002713C0">
              <w:rPr>
                <w:sz w:val="20"/>
                <w:szCs w:val="20"/>
              </w:rPr>
              <w:t>ok. 60 min. forma zdalna, stacjonarna lub hybrydowa</w:t>
            </w:r>
            <w:r>
              <w:rPr>
                <w:sz w:val="20"/>
                <w:szCs w:val="20"/>
              </w:rPr>
              <w:t>.</w:t>
            </w:r>
          </w:p>
        </w:tc>
      </w:tr>
      <w:tr w:rsidR="00D11E04" w14:paraId="126D4F5C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D3FED6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Badanie ilościowe podstawowe (n = 1 000)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E41615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Jednostka próby: MMŚP aktywnie prowadzące działalność w Polsce; mikroprzedsiębiorstwa wyłącznie zatrudniające co najmniej 1 pracownika. Respondent: właściciel, kadra zarządzająca lub osoba odpowiedzialna za cyfryzację, IT, inwestycje, finanse lub pozyskiwanie wsparcia.</w:t>
            </w:r>
          </w:p>
          <w:p w14:paraId="39300244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Dobór </w:t>
            </w:r>
            <w:r>
              <w:rPr>
                <w:b/>
                <w:bCs/>
                <w:sz w:val="20"/>
                <w:szCs w:val="20"/>
              </w:rPr>
              <w:t>kwotowo-losowy</w:t>
            </w:r>
            <w:r>
              <w:rPr>
                <w:sz w:val="20"/>
                <w:szCs w:val="20"/>
              </w:rPr>
              <w:t xml:space="preserve"> z kwotami brzegowymi: wielkość firmy (struktura nieproporcjonalna – bez dominacji mikro), region (wszystkie województwa, analizy na poziomie makroregionów, w tym Polski Wschodniej), szerokie grupy branżowe (agregacja sekcji/działów PKD). Operat: REGON, CEIDG, KRS, bazy komercyjne lub panele B2B.</w:t>
            </w:r>
          </w:p>
          <w:p w14:paraId="01D3ADFE" w14:textId="287EB60A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Wyłączenia: sekcje PKD 2025 A, P, U, V oraz dział 94</w:t>
            </w:r>
            <w:r w:rsidR="009C0DFA">
              <w:rPr>
                <w:sz w:val="20"/>
                <w:szCs w:val="20"/>
              </w:rPr>
              <w:t xml:space="preserve"> z sekcji T</w:t>
            </w:r>
            <w:r>
              <w:rPr>
                <w:sz w:val="20"/>
                <w:szCs w:val="20"/>
              </w:rPr>
              <w:t>; formy prawne 48, 50, 51, 55, 60, 70, 72, 73, 76, 85, 90.</w:t>
            </w:r>
          </w:p>
          <w:p w14:paraId="30C6A119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Dojrzałość cyfrowa ustalana w kwestionariuszu (ok. 5 pytań), nie jako warstwa doboru. Status wobec wsparcia ustalany pytaniami przesiewowymi (korzystające; niekorzystające: aktywne cyfrowo poza systemem, próbujące bez powodzenia, nieaktywne, nieznające wsparcia).</w:t>
            </w:r>
          </w:p>
          <w:p w14:paraId="4F1EFBEC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Technika CATI/CAWI, </w:t>
            </w:r>
            <w:r>
              <w:rPr>
                <w:b/>
                <w:bCs/>
                <w:sz w:val="20"/>
                <w:szCs w:val="20"/>
              </w:rPr>
              <w:t>preferowany tryb mieszany</w:t>
            </w:r>
            <w:r>
              <w:rPr>
                <w:sz w:val="20"/>
                <w:szCs w:val="20"/>
              </w:rPr>
              <w:t xml:space="preserve"> z mechanizmami ograniczającymi wykluczenie firm mniej zaawansowanych cyfrowo (rekrutacja telefoniczna, część wywiadów CATI).</w:t>
            </w:r>
          </w:p>
          <w:p w14:paraId="72B37448" w14:textId="632ABD16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lastRenderedPageBreak/>
              <w:t xml:space="preserve">Kwestionariusz obejmuje m.in. dojrzałość cyfrową, technologie, bariery, potrzeby (finansowanie, doradztwo, kompetencje, diagnoza, cyberbezpieczeństwo, wdrożenia), znajomość i doświadczenia ze wsparciem, powody niekorzystania, oczekiwania wobec przyszłych instrumentów; zawiera zgodę na ponowny kontakt (rekrutacja do studiów przypadków). Długość kwestionariusza: </w:t>
            </w:r>
            <w:r w:rsidR="009C0DFA">
              <w:rPr>
                <w:sz w:val="20"/>
                <w:szCs w:val="20"/>
              </w:rPr>
              <w:t>20 min</w:t>
            </w:r>
            <w:r>
              <w:rPr>
                <w:sz w:val="20"/>
                <w:szCs w:val="20"/>
              </w:rPr>
              <w:t>.</w:t>
            </w:r>
          </w:p>
          <w:p w14:paraId="6980EF68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Produkt dodatkowy: raport techniczny ze strukturą zrealizowanej próby.</w:t>
            </w:r>
          </w:p>
        </w:tc>
      </w:tr>
      <w:tr w:rsidR="00D11E04" w14:paraId="4E74CC54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8A4974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Badanie ilościowe uzupełniające (n = 200)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309021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Cel: pełniejszy pomiar dojrzałości cyfrowej i walidacja uproszczonej miary z badania podstawowego.</w:t>
            </w:r>
          </w:p>
          <w:p w14:paraId="1C16032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Wykonawca </w:t>
            </w:r>
            <w:r>
              <w:rPr>
                <w:b/>
                <w:bCs/>
                <w:sz w:val="20"/>
                <w:szCs w:val="20"/>
              </w:rPr>
              <w:t>przygotowuje narzędzie</w:t>
            </w:r>
            <w:r>
              <w:rPr>
                <w:sz w:val="20"/>
                <w:szCs w:val="20"/>
              </w:rPr>
              <w:t xml:space="preserve"> pomiaru dojrzałości cyfrowej na podstawie przeglądu istniejących narzędzi (np. ADMA, DMAT – 21-80 pytań) i wyników ewaluacji FENG (moduł cyfryzacji).</w:t>
            </w:r>
          </w:p>
          <w:p w14:paraId="1384B03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CAWI; dobór kwotowy odwzorowujący strukturę badania podstawowego (wielkość, branża). Rekrutacja do uzgodnienia – wstępnie link na końcu ankiety podstawowej.</w:t>
            </w:r>
          </w:p>
          <w:p w14:paraId="6469EB4D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Gratyfikacja dla respondentów</w:t>
            </w:r>
            <w:r>
              <w:rPr>
                <w:sz w:val="20"/>
                <w:szCs w:val="20"/>
              </w:rPr>
              <w:t xml:space="preserve"> (np. bon) – wstępnie przewidziana; po stronie Wykonawcy.</w:t>
            </w:r>
          </w:p>
        </w:tc>
      </w:tr>
      <w:tr w:rsidR="00D11E04" w14:paraId="38DE622D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CF86CF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Studia przypadków przedsiębiorstw (12-16)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739A4D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Dobór celowy, zasada maksymalnego zróżnicowania (dojrzałość, wielkość, branża, region, doświadczenie ze wsparciem, przebieg i efekty cyfryzacji); uwzględnienie ścieżek trudnych, przerwanych i pozornych. Lista firm z uzasadnieniem funkcji analitycznej każdego przypadku – do akceptacji Zamawiającego; w razie wycofania się firmy Wykonawca realizuje przypadek z inną.</w:t>
            </w:r>
          </w:p>
          <w:p w14:paraId="0AF3536B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Podstawowe źródło rekrutacji: badanie ilościowe; uzupełniająco IDI.</w:t>
            </w:r>
          </w:p>
          <w:p w14:paraId="33D3E260" w14:textId="05C46ECA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W miarę możliwości więcej niż jeden wywiad na przypadek oraz dodatkowe źródła (dokumenty projektowe, materiały firmy, dane monitoringowe). Liczba wywiadów na przypadek: </w:t>
            </w:r>
            <w:r w:rsidR="007D4938">
              <w:rPr>
                <w:sz w:val="20"/>
                <w:szCs w:val="20"/>
              </w:rPr>
              <w:t>max 3 (IDI lub mini FGI)</w:t>
            </w:r>
            <w:r>
              <w:rPr>
                <w:sz w:val="20"/>
                <w:szCs w:val="20"/>
              </w:rPr>
              <w:t>.</w:t>
            </w:r>
          </w:p>
          <w:p w14:paraId="62A040AF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Produkty: karty przypadków, analiza porównawcza wg wspólnych kryteriów, typologia ścieżek (udane, rozwojowe, pozorne, nietrwałe, przerwane), konfiguracje warunków sprzyjających i ryzyka.</w:t>
            </w:r>
          </w:p>
        </w:tc>
      </w:tr>
      <w:tr w:rsidR="00D11E04" w14:paraId="65C7649D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6921B4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Synteza i ścieżki użytkownika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3EC990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Triangulacja wyników ze wskazaniem źródła każdego ustalenia i stopnia jego potwierdzenia; wstępne warianty rozwiązań (model ścieżek, zasady kierowania wsparcia, rola diagnozy, model koordynacji, założenia monitoringu, rekomendacje instrumentów). </w:t>
            </w:r>
            <w:r>
              <w:rPr>
                <w:b/>
                <w:bCs/>
                <w:sz w:val="20"/>
                <w:szCs w:val="20"/>
              </w:rPr>
              <w:t>6-8 profili użytkowników</w:t>
            </w:r>
            <w:r>
              <w:rPr>
                <w:sz w:val="20"/>
                <w:szCs w:val="20"/>
              </w:rPr>
              <w:t xml:space="preserve"> systemu wsparcia (wg dominującej bariery: poznawczo-kompetencyjnej, zasobowej, organizacyjno-integracyjnej, rozwojowej; charakteryzowane wg dojrzałości, źródła motywacji i doświadczeń) wraz z </w:t>
            </w:r>
            <w:r>
              <w:rPr>
                <w:b/>
                <w:bCs/>
                <w:sz w:val="20"/>
                <w:szCs w:val="20"/>
              </w:rPr>
              <w:t>mapami ścieżek</w:t>
            </w:r>
            <w:r>
              <w:rPr>
                <w:sz w:val="20"/>
                <w:szCs w:val="20"/>
              </w:rPr>
              <w:t xml:space="preserve"> korzystania ze wsparcia.</w:t>
            </w:r>
          </w:p>
        </w:tc>
      </w:tr>
      <w:tr w:rsidR="00D11E04" w14:paraId="5D958042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6BC9EE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Warsztaty podsumowujące (n = 2)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2E82B5" w14:textId="5D1AB8D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Po zakończeniu etapów diagnostycznych i syntezy. (1) z interesariuszami systemu wsparcia – ocena instrumentów i propozycji</w:t>
            </w:r>
            <w:r w:rsidR="007D4938">
              <w:rPr>
                <w:sz w:val="20"/>
                <w:szCs w:val="20"/>
              </w:rPr>
              <w:t xml:space="preserve"> na przyszłość</w:t>
            </w:r>
            <w:r>
              <w:rPr>
                <w:sz w:val="20"/>
                <w:szCs w:val="20"/>
              </w:rPr>
              <w:t>; (2) z ekspertami transformacji cyfrowej – połowa z systemu (EDIH, OI, klastry), połowa rynkowych (dostawcy IT).</w:t>
            </w:r>
          </w:p>
          <w:p w14:paraId="62592C06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Wykonawca przygotowuje materiały robocze (wyniki, profile, mapy ścieżek, warianty rozwiązań).</w:t>
            </w:r>
          </w:p>
          <w:p w14:paraId="11FACCF5" w14:textId="37E8E801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Forma, czas trwania, liczba uczestników i ewentualne honoraria ekspertów: </w:t>
            </w:r>
            <w:r w:rsidR="007D4938">
              <w:rPr>
                <w:sz w:val="20"/>
                <w:szCs w:val="20"/>
              </w:rPr>
              <w:t>ok. 120 min. forma zdalna, stacjonarna lub hybrydowa, max. 5-10 uczestników na warsztat.</w:t>
            </w:r>
          </w:p>
        </w:tc>
      </w:tr>
      <w:tr w:rsidR="00D11E04" w14:paraId="04CBF32D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665917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Wykorzystanie narzędzi SI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749D86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 xml:space="preserve">Dopuszczone w zakresie i na warunkach opisanych w OPZ (m.in. analiza danych zanonimizowanych w modelu zamkniętym, do 25% objętości produktu, oznaczanie grafik). Niedopuszczalne: </w:t>
            </w:r>
            <w:proofErr w:type="spellStart"/>
            <w:r>
              <w:rPr>
                <w:sz w:val="20"/>
                <w:szCs w:val="20"/>
              </w:rPr>
              <w:t>voiceboty</w:t>
            </w:r>
            <w:proofErr w:type="spellEnd"/>
            <w:r>
              <w:rPr>
                <w:sz w:val="20"/>
                <w:szCs w:val="20"/>
              </w:rPr>
              <w:t xml:space="preserve">, transkrypcja SI poza środowiskiem zapewniającym anonimowość, automatyczne generowanie raportów bez nadzoru. </w:t>
            </w:r>
            <w:r>
              <w:rPr>
                <w:sz w:val="20"/>
                <w:szCs w:val="20"/>
              </w:rPr>
              <w:lastRenderedPageBreak/>
              <w:t xml:space="preserve">Wymagany rozdział o SI w raporcie metodologicznym i </w:t>
            </w:r>
            <w:r>
              <w:rPr>
                <w:b/>
                <w:bCs/>
                <w:sz w:val="20"/>
                <w:szCs w:val="20"/>
              </w:rPr>
              <w:t>Raport z wykorzystania SI</w:t>
            </w:r>
            <w:r>
              <w:rPr>
                <w:sz w:val="20"/>
                <w:szCs w:val="20"/>
              </w:rPr>
              <w:t xml:space="preserve"> po zakończeniu badania.</w:t>
            </w:r>
          </w:p>
        </w:tc>
      </w:tr>
    </w:tbl>
    <w:p w14:paraId="1F3CC27E" w14:textId="77777777" w:rsidR="00D11E04" w:rsidRDefault="00D97869" w:rsidP="00CE5EA8">
      <w:pPr>
        <w:spacing w:after="120" w:line="276" w:lineRule="auto"/>
      </w:pPr>
      <w:r w:rsidRPr="00CE5EA8">
        <w:lastRenderedPageBreak/>
        <w:t>Wartości podane w przedziałach oznaczają wartości minimalne i maksymalne; podstawę wyceny stanowią wartości maksymalne, w tym pełna pula dodatkowych IDI. Łącznie: do 31 IDI, 1 200 ankiet, do 16 studiów przypadków, 2 warsztaty.</w:t>
      </w:r>
    </w:p>
    <w:p w14:paraId="78FE17A3" w14:textId="77777777" w:rsidR="00D11E04" w:rsidRDefault="00D97869">
      <w:pPr>
        <w:pStyle w:val="Nagwek2"/>
        <w:keepNext/>
        <w:spacing w:before="280" w:after="140"/>
      </w:pPr>
      <w:r>
        <w:t>6. Produkty badania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D11E04" w14:paraId="32365E4D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DDCD70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Notatka z kick-off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1F1A07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Do 5 stron; w ciągu 2 dni roboczych od spotkania; podlega akceptacji.</w:t>
            </w:r>
          </w:p>
        </w:tc>
      </w:tr>
      <w:tr w:rsidR="00D11E04" w14:paraId="3B9C4589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CC8F0E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Raport metodologiczny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98F92E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Wersja wstępna i ostateczna; .</w:t>
            </w:r>
            <w:proofErr w:type="spellStart"/>
            <w:r>
              <w:rPr>
                <w:sz w:val="20"/>
                <w:szCs w:val="20"/>
              </w:rPr>
              <w:t>doc</w:t>
            </w:r>
            <w:proofErr w:type="spellEnd"/>
            <w:r>
              <w:rPr>
                <w:sz w:val="20"/>
                <w:szCs w:val="20"/>
              </w:rPr>
              <w:t>/.</w:t>
            </w:r>
            <w:proofErr w:type="spellStart"/>
            <w:r>
              <w:rPr>
                <w:sz w:val="20"/>
                <w:szCs w:val="20"/>
              </w:rPr>
              <w:t>docx</w:t>
            </w:r>
            <w:proofErr w:type="spellEnd"/>
            <w:r>
              <w:rPr>
                <w:sz w:val="20"/>
                <w:szCs w:val="20"/>
              </w:rPr>
              <w:t>. Zawiera m.in.: kontekst i cele, wstępne wyniki analizy danych zastanych, matrycę pytania – metody – źródła, szczegółowy opis metodyki i technik analitycznych, sposób triangulacji i rekrutacji, narzędzia (scenariusze IDI i warsztatów, kwestionariusze CATI/CAWI – dopuszczalny projekt blokowy, jeśli treść zależy od wcześniejszych etapów), schematy studiów przypadków, strukturę raportu końcowego, harmonogram, sposób raportowania, rozdział o wykorzystaniu SI. Aktualizowany i przekazywany ponownie z raportem końcowym (aneks metodyczny).</w:t>
            </w:r>
          </w:p>
        </w:tc>
      </w:tr>
      <w:tr w:rsidR="00D11E04" w14:paraId="39429618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245ADA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Raport końcowy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BE6558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Wersja robocza i końcowa; .</w:t>
            </w:r>
            <w:proofErr w:type="spellStart"/>
            <w:r>
              <w:rPr>
                <w:sz w:val="20"/>
                <w:szCs w:val="20"/>
              </w:rPr>
              <w:t>doc</w:t>
            </w:r>
            <w:proofErr w:type="spellEnd"/>
            <w:r>
              <w:rPr>
                <w:sz w:val="20"/>
                <w:szCs w:val="20"/>
              </w:rPr>
              <w:t>/.</w:t>
            </w:r>
            <w:proofErr w:type="spellStart"/>
            <w:r>
              <w:rPr>
                <w:sz w:val="20"/>
                <w:szCs w:val="20"/>
              </w:rPr>
              <w:t>docx</w:t>
            </w:r>
            <w:proofErr w:type="spellEnd"/>
            <w:r>
              <w:rPr>
                <w:sz w:val="20"/>
                <w:szCs w:val="20"/>
              </w:rPr>
              <w:t xml:space="preserve"> oraz .pdf; </w:t>
            </w:r>
            <w:r>
              <w:rPr>
                <w:b/>
                <w:bCs/>
                <w:sz w:val="20"/>
                <w:szCs w:val="20"/>
              </w:rPr>
              <w:t>maks. 100 stron</w:t>
            </w:r>
            <w:r>
              <w:rPr>
                <w:sz w:val="20"/>
                <w:szCs w:val="20"/>
              </w:rPr>
              <w:t xml:space="preserve"> (ok. 1 800 znaków/str.) bez aneksów. Streszczenie 5-10 stron w języku polskim i angielskim. Struktura problemowa, nie podporządkowana metodyce; odpowiedzi na wszystkie pytania badawcze. Tabela wniosków i rekomendacji zgodna z wytycznymi w zakresie ewaluacji polityki spójności 2021-2027 – w osobnym pliku.</w:t>
            </w:r>
          </w:p>
        </w:tc>
      </w:tr>
      <w:tr w:rsidR="00D11E04" w14:paraId="14DB4ACA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84E83E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Aneksy do raportu końcowego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CE5DF9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prezentacja wyników .</w:t>
            </w:r>
            <w:proofErr w:type="spellStart"/>
            <w:r>
              <w:rPr>
                <w:sz w:val="20"/>
                <w:szCs w:val="20"/>
              </w:rPr>
              <w:t>ppt</w:t>
            </w:r>
            <w:proofErr w:type="spellEnd"/>
            <w:r>
              <w:rPr>
                <w:sz w:val="20"/>
                <w:szCs w:val="20"/>
              </w:rPr>
              <w:t>/.</w:t>
            </w:r>
            <w:proofErr w:type="spellStart"/>
            <w:r>
              <w:rPr>
                <w:sz w:val="20"/>
                <w:szCs w:val="20"/>
              </w:rPr>
              <w:t>pptx</w:t>
            </w:r>
            <w:proofErr w:type="spellEnd"/>
            <w:r>
              <w:rPr>
                <w:sz w:val="20"/>
                <w:szCs w:val="20"/>
              </w:rPr>
              <w:t xml:space="preserve"> z infografikami,</w:t>
            </w:r>
          </w:p>
          <w:p w14:paraId="72F81649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raport z analizy danych zastanych (do 50 stron),</w:t>
            </w:r>
          </w:p>
          <w:p w14:paraId="327BDFE3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studia przypadków (karty),</w:t>
            </w:r>
          </w:p>
          <w:p w14:paraId="5548DA8F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lista rozmówców i reprezentowanych instytucji,</w:t>
            </w:r>
          </w:p>
          <w:p w14:paraId="66F58AA5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lista źródeł,</w:t>
            </w:r>
          </w:p>
          <w:p w14:paraId="74D4CEF4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narzędzia badawcze,</w:t>
            </w:r>
          </w:p>
          <w:p w14:paraId="23145FE0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transkrypcje IDI i warsztatów,</w:t>
            </w:r>
          </w:p>
          <w:p w14:paraId="5FAEEA51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klucz kodowy z opisem kodów,</w:t>
            </w:r>
          </w:p>
          <w:p w14:paraId="54600C60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zbiór danych ilościowych (.xls lub .</w:t>
            </w:r>
            <w:proofErr w:type="spellStart"/>
            <w:r>
              <w:rPr>
                <w:sz w:val="20"/>
                <w:szCs w:val="20"/>
              </w:rPr>
              <w:t>sav</w:t>
            </w:r>
            <w:proofErr w:type="spellEnd"/>
            <w:r>
              <w:rPr>
                <w:sz w:val="20"/>
                <w:szCs w:val="20"/>
              </w:rPr>
              <w:t>),</w:t>
            </w:r>
          </w:p>
          <w:p w14:paraId="03C7AEBF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mapy ścieżek użytkownika,</w:t>
            </w:r>
          </w:p>
          <w:p w14:paraId="1E879022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propozycja wskaźników monitorowania efektów,</w:t>
            </w:r>
          </w:p>
          <w:p w14:paraId="51B12B69" w14:textId="77777777" w:rsidR="00D11E04" w:rsidRDefault="00D97869">
            <w:pPr>
              <w:pStyle w:val="Akapitzlist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końcowa wersja raportu metodologicznego (aneks metodyczny).</w:t>
            </w:r>
          </w:p>
        </w:tc>
      </w:tr>
      <w:tr w:rsidR="00D11E04" w14:paraId="0FCA61CE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F0C4D0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Raport z analizy danych zastanych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BB2013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Do 24 tygodnia; do 50 stron (ok. 1 800 znaków/str.); włączany następnie jako aneks do raportu końcowego.</w:t>
            </w:r>
          </w:p>
        </w:tc>
      </w:tr>
      <w:tr w:rsidR="00D11E04" w14:paraId="674A4211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16DAB3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Raport techniczny z badania ilościowego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D0EE14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Do 36 tygodnia; struktura zrealizowanej próby wraz z listą firm proponowanych do studiów przypadków (do akceptacji Zamawiającego).</w:t>
            </w:r>
          </w:p>
        </w:tc>
      </w:tr>
      <w:tr w:rsidR="00D11E04" w14:paraId="21D05BD9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D566FC" w14:textId="6BA7B14B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Wsparcie Zamawiającego (asysta)</w:t>
            </w:r>
            <w:r w:rsidR="00CE5EA8">
              <w:rPr>
                <w:b/>
                <w:bCs/>
                <w:sz w:val="20"/>
                <w:szCs w:val="20"/>
              </w:rPr>
              <w:t>, w tym prezentacje publiczne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295BF9" w14:textId="77777777" w:rsidR="00D11E04" w:rsidRDefault="00D97869">
            <w:pPr>
              <w:spacing w:after="6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Tygodnie 69-84 (16 tygodni). Konsultacje wyników i uzgodnienia rekomendacji z adresatami. Aktualizacja raportu końcowego w terminie 15 dni od zgłoszenia zakresu zmian; łączny zakres zmian do ok. 10% objętości wersji ostatecznej.</w:t>
            </w:r>
          </w:p>
          <w:p w14:paraId="63DC9F19" w14:textId="23BA50D3" w:rsidR="00CE5EA8" w:rsidRDefault="00CE5EA8">
            <w:pPr>
              <w:spacing w:after="60" w:line="252" w:lineRule="auto"/>
            </w:pPr>
            <w:r>
              <w:rPr>
                <w:sz w:val="20"/>
                <w:szCs w:val="20"/>
              </w:rPr>
              <w:t>Na prośbę Zamawiającego – maks. 3 spotkania w kraju (stacjonarnie lub online), na dowolnym etapie. Informacja co najmniej 7 dni wcześniej. Sala i sprzęt – Zamawiający; transport i zakwaterowanie – Wykonawca.</w:t>
            </w:r>
          </w:p>
        </w:tc>
      </w:tr>
      <w:tr w:rsidR="00D11E04" w14:paraId="17471702" w14:textId="77777777">
        <w:tc>
          <w:tcPr>
            <w:tcW w:w="2700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605E89" w14:textId="77777777" w:rsidR="00D11E04" w:rsidRDefault="00D97869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Sprawozdawczość bieżąca</w:t>
            </w:r>
          </w:p>
        </w:tc>
        <w:tc>
          <w:tcPr>
            <w:tcW w:w="6938" w:type="dxa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178B47" w14:textId="77777777" w:rsidR="00D11E04" w:rsidRDefault="00D97869">
            <w:pPr>
              <w:spacing w:after="60" w:line="252" w:lineRule="auto"/>
            </w:pPr>
            <w:r>
              <w:rPr>
                <w:sz w:val="20"/>
                <w:szCs w:val="20"/>
              </w:rPr>
              <w:t>Cotygodniowe sprawozdania z przebiegu realizacji zamówienia.</w:t>
            </w:r>
          </w:p>
        </w:tc>
      </w:tr>
    </w:tbl>
    <w:p w14:paraId="1D4A7714" w14:textId="77777777" w:rsidR="00D11E04" w:rsidRDefault="00D97869" w:rsidP="00CE5EA8">
      <w:pPr>
        <w:spacing w:after="120" w:line="276" w:lineRule="auto"/>
      </w:pPr>
      <w:r w:rsidRPr="00CE5EA8">
        <w:t>Raporty i prezentacje w języku polskim (streszczenie raportu końcowego dodatkowo w języku angielskim), zgodne z Podręcznikiem wnioskodawcy i beneficjenta w zakresie informacji i promocji, Księgą Identyfikacji Wizualnej znaku marki Fundusze Europejskie, zasadami wizualizacji PARP oraz wymogami dostępności (aktualna wersja WCAG). Zamawiający przekaże dokumenty wzorcowe po rozpoczęciu realizacji zamówienia.</w:t>
      </w:r>
    </w:p>
    <w:p w14:paraId="4CC6FB74" w14:textId="77777777" w:rsidR="00D11E04" w:rsidRDefault="00D97869">
      <w:pPr>
        <w:pStyle w:val="Nagwek2"/>
        <w:keepNext/>
        <w:spacing w:before="280" w:after="140"/>
      </w:pPr>
      <w:r>
        <w:t>7. Harmonogram – kamienie milowe</w:t>
      </w:r>
    </w:p>
    <w:p w14:paraId="08A96C08" w14:textId="77777777" w:rsidR="00D11E04" w:rsidRDefault="00D97869">
      <w:pPr>
        <w:spacing w:after="120" w:line="276" w:lineRule="auto"/>
      </w:pPr>
      <w:r>
        <w:t>Wszystkie terminy liczone są od dnia podpisania umowy.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28"/>
      </w:tblGrid>
      <w:tr w:rsidR="00E739DD" w14:paraId="1E5B69EF" w14:textId="77777777" w:rsidTr="00E739DD">
        <w:trPr>
          <w:tblHeader/>
        </w:trPr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B6192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A22F0B" w14:textId="77777777" w:rsidR="00E739DD" w:rsidRDefault="00E739DD">
            <w:r>
              <w:rPr>
                <w:b/>
                <w:bCs/>
                <w:color w:val="FFFFFF"/>
                <w:sz w:val="20"/>
                <w:szCs w:val="20"/>
              </w:rPr>
              <w:t>Tydzień od zawarcia umowy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B6192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F3A56A" w14:textId="77777777" w:rsidR="00E739DD" w:rsidRDefault="00E739DD">
            <w:r>
              <w:rPr>
                <w:b/>
                <w:bCs/>
                <w:color w:val="FFFFFF"/>
                <w:sz w:val="20"/>
                <w:szCs w:val="20"/>
              </w:rPr>
              <w:t>Kamień milowy / etap</w:t>
            </w:r>
          </w:p>
        </w:tc>
      </w:tr>
      <w:tr w:rsidR="00E739DD" w14:paraId="4EC06464" w14:textId="77777777" w:rsidTr="00E739DD"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FBBBE2" w14:textId="77777777" w:rsidR="00E739DD" w:rsidRDefault="00E739DD">
            <w:pPr>
              <w:spacing w:after="60" w:line="252" w:lineRule="auto"/>
            </w:pPr>
            <w:r>
              <w:rPr>
                <w:sz w:val="20"/>
                <w:szCs w:val="20"/>
              </w:rPr>
              <w:t>do 2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63A092" w14:textId="77777777" w:rsidR="00E739DD" w:rsidRDefault="00E739DD">
            <w:pPr>
              <w:spacing w:after="60" w:line="252" w:lineRule="auto"/>
            </w:pPr>
            <w:r>
              <w:rPr>
                <w:sz w:val="20"/>
                <w:szCs w:val="20"/>
              </w:rPr>
              <w:t>Spotkanie otwierające</w:t>
            </w:r>
          </w:p>
        </w:tc>
      </w:tr>
      <w:tr w:rsidR="00E739DD" w14:paraId="798358A6" w14:textId="77777777" w:rsidTr="00E739DD"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D82512" w14:textId="77777777" w:rsidR="00E739DD" w:rsidRDefault="00E739DD">
            <w:pPr>
              <w:spacing w:after="60" w:line="252" w:lineRule="auto"/>
            </w:pPr>
            <w:r>
              <w:rPr>
                <w:sz w:val="20"/>
                <w:szCs w:val="20"/>
              </w:rPr>
              <w:t>do 8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130E17" w14:textId="77777777" w:rsidR="00E739DD" w:rsidRDefault="00E739DD">
            <w:pPr>
              <w:spacing w:after="60" w:line="252" w:lineRule="auto"/>
            </w:pPr>
            <w:r>
              <w:rPr>
                <w:sz w:val="20"/>
                <w:szCs w:val="20"/>
              </w:rPr>
              <w:t>Raport metodologiczny – wersja wstępna</w:t>
            </w:r>
          </w:p>
        </w:tc>
      </w:tr>
      <w:tr w:rsidR="00E739DD" w14:paraId="404B630E" w14:textId="77777777" w:rsidTr="00E739DD"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ECD3B6" w14:textId="77777777" w:rsidR="00E739DD" w:rsidRDefault="00E739DD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do 12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82CD41" w14:textId="77777777" w:rsidR="00E739DD" w:rsidRDefault="00E739DD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Raport metodologiczny – wersja ostateczna (płatność 1)</w:t>
            </w:r>
          </w:p>
        </w:tc>
      </w:tr>
      <w:tr w:rsidR="00E739DD" w14:paraId="75D2ED04" w14:textId="77777777" w:rsidTr="00E739DD"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0D3EC1" w14:textId="77777777" w:rsidR="00E739DD" w:rsidRDefault="00E739DD">
            <w:pPr>
              <w:spacing w:after="60" w:line="252" w:lineRule="auto"/>
            </w:pPr>
            <w:r>
              <w:rPr>
                <w:sz w:val="20"/>
                <w:szCs w:val="20"/>
              </w:rPr>
              <w:t>do 60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2D55D8" w14:textId="77777777" w:rsidR="00E739DD" w:rsidRDefault="00E739DD">
            <w:pPr>
              <w:spacing w:after="60" w:line="252" w:lineRule="auto"/>
            </w:pPr>
            <w:r>
              <w:rPr>
                <w:sz w:val="20"/>
                <w:szCs w:val="20"/>
              </w:rPr>
              <w:t>Raport końcowy – wersja robocza</w:t>
            </w:r>
          </w:p>
        </w:tc>
      </w:tr>
      <w:tr w:rsidR="00E739DD" w14:paraId="1A6CC778" w14:textId="77777777" w:rsidTr="00E739DD"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DBB222" w14:textId="77777777" w:rsidR="00E739DD" w:rsidRDefault="00E739DD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do 68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4D899D" w14:textId="77777777" w:rsidR="00E739DD" w:rsidRDefault="00E739DD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Raport końcowy – wersja końcowa (płatność 2)</w:t>
            </w:r>
          </w:p>
        </w:tc>
      </w:tr>
      <w:tr w:rsidR="00E739DD" w14:paraId="5E2E20F9" w14:textId="77777777" w:rsidTr="00E739DD">
        <w:tc>
          <w:tcPr>
            <w:tcW w:w="13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shd w:val="clear" w:color="auto" w:fill="E1E3E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CF546" w14:textId="77777777" w:rsidR="00E739DD" w:rsidRDefault="00E739DD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69-84</w:t>
            </w:r>
          </w:p>
        </w:tc>
        <w:tc>
          <w:tcPr>
            <w:tcW w:w="3650" w:type="pct"/>
            <w:tcBorders>
              <w:top w:val="single" w:sz="4" w:space="0" w:color="A4A8AB"/>
              <w:left w:val="single" w:sz="4" w:space="0" w:color="A4A8AB"/>
              <w:bottom w:val="single" w:sz="4" w:space="0" w:color="A4A8AB"/>
              <w:right w:val="single" w:sz="4" w:space="0" w:color="A4A8AB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CA5E7E" w14:textId="77777777" w:rsidR="00E739DD" w:rsidRDefault="00E739DD">
            <w:pPr>
              <w:spacing w:after="60" w:line="252" w:lineRule="auto"/>
            </w:pPr>
            <w:r>
              <w:rPr>
                <w:b/>
                <w:bCs/>
                <w:sz w:val="20"/>
                <w:szCs w:val="20"/>
              </w:rPr>
              <w:t>Asysta – 16 tygodni (płatność 3 po zakończeniu)</w:t>
            </w:r>
          </w:p>
        </w:tc>
      </w:tr>
    </w:tbl>
    <w:p w14:paraId="54753451" w14:textId="77777777" w:rsidR="00E739DD" w:rsidRDefault="00E739DD" w:rsidP="00E739DD">
      <w:pPr>
        <w:spacing w:after="80" w:line="276" w:lineRule="auto"/>
      </w:pPr>
    </w:p>
    <w:p w14:paraId="41E2010A" w14:textId="266407BA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Wynagrodzenie płatne w trzech transzach</w:t>
      </w:r>
      <w:r w:rsidR="00E739DD">
        <w:rPr>
          <w:rStyle w:val="Odwoanieprzypisudolnego"/>
        </w:rPr>
        <w:footnoteReference w:id="1"/>
      </w:r>
      <w:r>
        <w:t>: po akceptacji raportu metodologicznego, po akceptacji raportu końcowego w wersji końcowej oraz po zakończeniu asysty.</w:t>
      </w:r>
    </w:p>
    <w:p w14:paraId="164EB1D4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Szczegółowy harmonogram w postaci wykresu Gantta, z przypisaniem osób do zadań, Wykonawca przedstawia na spotkaniu otwierającym.</w:t>
      </w:r>
    </w:p>
    <w:p w14:paraId="6408D9A5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Zmiana harmonogramu jest możliwa na uzasadniony wniosek którejkolwiek ze stron i nie wymaga aneksu do umowy.</w:t>
      </w:r>
    </w:p>
    <w:p w14:paraId="0984E765" w14:textId="77777777" w:rsidR="00D11E04" w:rsidRDefault="00D97869">
      <w:pPr>
        <w:pStyle w:val="Nagwek2"/>
        <w:keepNext/>
        <w:spacing w:before="280" w:after="140"/>
      </w:pPr>
      <w:r>
        <w:t>8. Uwagi organizacyjne</w:t>
      </w:r>
    </w:p>
    <w:p w14:paraId="4AADCD9B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Zamawiający przekaże Wykonawcy raport z mapowania oraz dane z Ewaluacji efektów wsparcia FENG na cyfryzację i zazielenienie (moduł cyfryzacji). Dostęp do operatu przedsiębiorstw do badania ilościowego zapewnia Wykonawca.</w:t>
      </w:r>
    </w:p>
    <w:p w14:paraId="08B58AD4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Lista krajów do przeglądu zagranicznego oraz lista firm do studiów przypadków wymagają akceptacji Zamawiającego przed rozpoczęciem prac.</w:t>
      </w:r>
    </w:p>
    <w:p w14:paraId="379BA07D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Odbiór produktów: Zamawiający zgłasza uwagi w ciągu 10 dni kalendarzowych (brak uwag oznacza przyjęcie); Wykonawca wprowadza poprawki w ciągu 5 dni roboczych. Nieuwzględnienie uwag bez uzasadnienia przyjętego przez Zamawiającego może skutkować nieprzyjęciem produktu.</w:t>
      </w:r>
    </w:p>
    <w:p w14:paraId="68689B19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lastRenderedPageBreak/>
        <w:t>Zamawiający ma prawo do oceny i kontroli zamówienia w każdej fazie; spotkania robocze na wniosek którejkolwiek ze stron.</w:t>
      </w:r>
    </w:p>
    <w:p w14:paraId="1012F70F" w14:textId="77777777" w:rsidR="00D11E04" w:rsidRDefault="00D97869">
      <w:pPr>
        <w:pStyle w:val="Akapitzlist"/>
        <w:numPr>
          <w:ilvl w:val="0"/>
          <w:numId w:val="2"/>
        </w:numPr>
        <w:spacing w:after="80" w:line="276" w:lineRule="auto"/>
      </w:pPr>
      <w:r>
        <w:t>Zmiany metodologii wymagają akceptacji Zamawiającego i muszą mieścić się w budżecie wskazanym w ofercie.</w:t>
      </w:r>
    </w:p>
    <w:p w14:paraId="429CC048" w14:textId="77777777" w:rsidR="00D11E04" w:rsidRDefault="00D97869">
      <w:pPr>
        <w:pStyle w:val="Nagwek2"/>
        <w:keepNext/>
        <w:spacing w:before="280" w:after="140"/>
      </w:pPr>
      <w:r>
        <w:t>9. Kontakt</w:t>
      </w:r>
    </w:p>
    <w:p w14:paraId="12896F16" w14:textId="488B4EF7" w:rsidR="00D11E04" w:rsidRDefault="00D97869">
      <w:pPr>
        <w:spacing w:after="120" w:line="276" w:lineRule="auto"/>
      </w:pPr>
      <w:r>
        <w:t xml:space="preserve">Wycenę prosimy przesłać na adres e-mail: </w:t>
      </w:r>
      <w:hyperlink r:id="rId8" w:history="1">
        <w:r w:rsidR="00DE4CDF" w:rsidRPr="00B14E79">
          <w:rPr>
            <w:rStyle w:val="Hipercze"/>
          </w:rPr>
          <w:t>marta_lesiak@parp.gov.pl</w:t>
        </w:r>
      </w:hyperlink>
      <w:r w:rsidR="00DE4CDF">
        <w:t xml:space="preserve"> </w:t>
      </w:r>
      <w:r>
        <w:t xml:space="preserve">w terminie do </w:t>
      </w:r>
      <w:r w:rsidR="00DE4CDF">
        <w:t>9.11.2026 r.</w:t>
      </w:r>
      <w:r>
        <w:t>, wpisując w temacie wiadomości „Badanie – wsparcie transformacji cyfrowej przedsiębiorstw 2028-2034”.</w:t>
      </w:r>
    </w:p>
    <w:p w14:paraId="3D776C2B" w14:textId="77777777" w:rsidR="00D11E04" w:rsidRDefault="00D97869">
      <w:pPr>
        <w:spacing w:after="120" w:line="276" w:lineRule="auto"/>
      </w:pPr>
      <w:r>
        <w:t>Przygotowując wycenę, prosimy skorzystać z załączonego formularza.</w:t>
      </w:r>
    </w:p>
    <w:p w14:paraId="297D8AE9" w14:textId="24749A09" w:rsidR="00D11E04" w:rsidRDefault="00D97869">
      <w:pPr>
        <w:spacing w:after="120" w:line="276" w:lineRule="auto"/>
      </w:pPr>
      <w:r>
        <w:t xml:space="preserve">W przypadku pytań prosimy o kontakt: </w:t>
      </w:r>
      <w:r w:rsidR="00DE4CDF">
        <w:t>marta_lesiak@parp.gov.pl</w:t>
      </w:r>
    </w:p>
    <w:sectPr w:rsidR="00D11E04">
      <w:head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86082" w14:textId="77777777" w:rsidR="005F7406" w:rsidRDefault="005F7406">
      <w:r>
        <w:separator/>
      </w:r>
    </w:p>
  </w:endnote>
  <w:endnote w:type="continuationSeparator" w:id="0">
    <w:p w14:paraId="0CAF28A0" w14:textId="77777777" w:rsidR="005F7406" w:rsidRDefault="005F7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2E1DA" w14:textId="77777777" w:rsidR="005F7406" w:rsidRDefault="005F7406">
      <w:r>
        <w:separator/>
      </w:r>
    </w:p>
  </w:footnote>
  <w:footnote w:type="continuationSeparator" w:id="0">
    <w:p w14:paraId="7EFD990A" w14:textId="77777777" w:rsidR="005F7406" w:rsidRDefault="005F7406">
      <w:r>
        <w:continuationSeparator/>
      </w:r>
    </w:p>
  </w:footnote>
  <w:footnote w:id="1">
    <w:p w14:paraId="66893413" w14:textId="7A17B516" w:rsidR="00E739DD" w:rsidRDefault="00E739DD">
      <w:pPr>
        <w:pStyle w:val="Tekstprzypisudolnego"/>
      </w:pPr>
      <w:r>
        <w:rPr>
          <w:rStyle w:val="Odwoanieprzypisudolnego"/>
        </w:rPr>
        <w:footnoteRef/>
      </w:r>
      <w:r>
        <w:t xml:space="preserve"> Zamawiający przewiduje dodanie jeszcze jednej transzy płatności – po zakończeniu badania terenowego (ilościowego).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3E11" w14:textId="77777777" w:rsidR="00D11E04" w:rsidRDefault="00D97869">
    <w:pPr>
      <w:jc w:val="right"/>
    </w:pPr>
    <w:r>
      <w:rPr>
        <w:color w:val="626769"/>
        <w:sz w:val="20"/>
        <w:szCs w:val="20"/>
      </w:rPr>
      <w:fldChar w:fldCharType="begin"/>
    </w:r>
    <w:r>
      <w:rPr>
        <w:color w:val="626769"/>
        <w:sz w:val="20"/>
        <w:szCs w:val="20"/>
      </w:rPr>
      <w:instrText>PAGE</w:instrText>
    </w:r>
    <w:r>
      <w:rPr>
        <w:color w:val="626769"/>
        <w:sz w:val="20"/>
        <w:szCs w:val="20"/>
      </w:rPr>
      <w:fldChar w:fldCharType="separate"/>
    </w:r>
    <w:r w:rsidR="00E739DD">
      <w:rPr>
        <w:noProof/>
        <w:color w:val="626769"/>
        <w:sz w:val="20"/>
        <w:szCs w:val="20"/>
      </w:rPr>
      <w:t>1</w:t>
    </w:r>
    <w:r>
      <w:rPr>
        <w:color w:val="626769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751E"/>
    <w:multiLevelType w:val="hybridMultilevel"/>
    <w:tmpl w:val="934C5636"/>
    <w:lvl w:ilvl="0" w:tplc="BECAC826">
      <w:start w:val="1"/>
      <w:numFmt w:val="bullet"/>
      <w:lvlText w:val="•"/>
      <w:lvlJc w:val="left"/>
      <w:pPr>
        <w:ind w:left="400" w:hanging="260"/>
      </w:pPr>
    </w:lvl>
    <w:lvl w:ilvl="1" w:tplc="081A3F7C">
      <w:numFmt w:val="decimal"/>
      <w:lvlText w:val=""/>
      <w:lvlJc w:val="left"/>
    </w:lvl>
    <w:lvl w:ilvl="2" w:tplc="F724C068">
      <w:numFmt w:val="decimal"/>
      <w:lvlText w:val=""/>
      <w:lvlJc w:val="left"/>
    </w:lvl>
    <w:lvl w:ilvl="3" w:tplc="E21A9A72">
      <w:numFmt w:val="decimal"/>
      <w:lvlText w:val=""/>
      <w:lvlJc w:val="left"/>
    </w:lvl>
    <w:lvl w:ilvl="4" w:tplc="77B85FF8">
      <w:numFmt w:val="decimal"/>
      <w:lvlText w:val=""/>
      <w:lvlJc w:val="left"/>
    </w:lvl>
    <w:lvl w:ilvl="5" w:tplc="26862A00">
      <w:numFmt w:val="decimal"/>
      <w:lvlText w:val=""/>
      <w:lvlJc w:val="left"/>
    </w:lvl>
    <w:lvl w:ilvl="6" w:tplc="92C89C04">
      <w:numFmt w:val="decimal"/>
      <w:lvlText w:val=""/>
      <w:lvlJc w:val="left"/>
    </w:lvl>
    <w:lvl w:ilvl="7" w:tplc="F6C0B598">
      <w:numFmt w:val="decimal"/>
      <w:lvlText w:val=""/>
      <w:lvlJc w:val="left"/>
    </w:lvl>
    <w:lvl w:ilvl="8" w:tplc="37726534">
      <w:numFmt w:val="decimal"/>
      <w:lvlText w:val=""/>
      <w:lvlJc w:val="left"/>
    </w:lvl>
  </w:abstractNum>
  <w:abstractNum w:abstractNumId="1" w15:restartNumberingAfterBreak="0">
    <w:nsid w:val="41A50D5B"/>
    <w:multiLevelType w:val="hybridMultilevel"/>
    <w:tmpl w:val="267E3C28"/>
    <w:lvl w:ilvl="0" w:tplc="402061BC" w:tentative="1">
      <w:start w:val="1"/>
      <w:numFmt w:val="bullet"/>
      <w:lvlText w:val="●"/>
      <w:lvlJc w:val="left"/>
      <w:pPr>
        <w:ind w:left="720" w:hanging="360"/>
      </w:pPr>
    </w:lvl>
    <w:lvl w:ilvl="1" w:tplc="EA7C383C" w:tentative="1">
      <w:start w:val="1"/>
      <w:numFmt w:val="bullet"/>
      <w:lvlText w:val="○"/>
      <w:lvlJc w:val="left"/>
      <w:pPr>
        <w:ind w:left="1440" w:hanging="360"/>
      </w:pPr>
    </w:lvl>
    <w:lvl w:ilvl="2" w:tplc="BEC0451A" w:tentative="1">
      <w:start w:val="1"/>
      <w:numFmt w:val="bullet"/>
      <w:lvlText w:val="■"/>
      <w:lvlJc w:val="left"/>
      <w:pPr>
        <w:ind w:left="2160" w:hanging="360"/>
      </w:pPr>
    </w:lvl>
    <w:lvl w:ilvl="3" w:tplc="80A85484" w:tentative="1">
      <w:start w:val="1"/>
      <w:numFmt w:val="bullet"/>
      <w:lvlText w:val="●"/>
      <w:lvlJc w:val="left"/>
      <w:pPr>
        <w:ind w:left="2880" w:hanging="360"/>
      </w:pPr>
    </w:lvl>
    <w:lvl w:ilvl="4" w:tplc="E1B09D2E" w:tentative="1">
      <w:start w:val="1"/>
      <w:numFmt w:val="bullet"/>
      <w:lvlText w:val="○"/>
      <w:lvlJc w:val="left"/>
      <w:pPr>
        <w:ind w:left="3600" w:hanging="360"/>
      </w:pPr>
    </w:lvl>
    <w:lvl w:ilvl="5" w:tplc="7350340A" w:tentative="1">
      <w:start w:val="1"/>
      <w:numFmt w:val="bullet"/>
      <w:lvlText w:val="■"/>
      <w:lvlJc w:val="left"/>
      <w:pPr>
        <w:ind w:left="4320" w:hanging="360"/>
      </w:pPr>
    </w:lvl>
    <w:lvl w:ilvl="6" w:tplc="ECC6202E" w:tentative="1">
      <w:start w:val="1"/>
      <w:numFmt w:val="bullet"/>
      <w:lvlText w:val="●"/>
      <w:lvlJc w:val="left"/>
      <w:pPr>
        <w:ind w:left="5040" w:hanging="360"/>
      </w:pPr>
    </w:lvl>
    <w:lvl w:ilvl="7" w:tplc="D430E348" w:tentative="1">
      <w:start w:val="1"/>
      <w:numFmt w:val="bullet"/>
      <w:lvlText w:val="●"/>
      <w:lvlJc w:val="left"/>
      <w:pPr>
        <w:ind w:left="5760" w:hanging="360"/>
      </w:pPr>
    </w:lvl>
    <w:lvl w:ilvl="8" w:tplc="07F81D3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75386109">
    <w:abstractNumId w:val="1"/>
    <w:lvlOverride w:ilvl="0">
      <w:startOverride w:val="1"/>
    </w:lvlOverride>
  </w:num>
  <w:num w:numId="2" w16cid:durableId="8934643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4"/>
    <w:rsid w:val="00124E3A"/>
    <w:rsid w:val="002713C0"/>
    <w:rsid w:val="002F476A"/>
    <w:rsid w:val="004B257F"/>
    <w:rsid w:val="00586E2D"/>
    <w:rsid w:val="005D6F42"/>
    <w:rsid w:val="005F7406"/>
    <w:rsid w:val="00646EDA"/>
    <w:rsid w:val="00696926"/>
    <w:rsid w:val="007D4938"/>
    <w:rsid w:val="0082464B"/>
    <w:rsid w:val="0084418B"/>
    <w:rsid w:val="009C0DFA"/>
    <w:rsid w:val="00A53AD3"/>
    <w:rsid w:val="00B42040"/>
    <w:rsid w:val="00C26B07"/>
    <w:rsid w:val="00C41955"/>
    <w:rsid w:val="00C46604"/>
    <w:rsid w:val="00CE5EA8"/>
    <w:rsid w:val="00D11E04"/>
    <w:rsid w:val="00D97869"/>
    <w:rsid w:val="00DE4CDF"/>
    <w:rsid w:val="00E739DD"/>
    <w:rsid w:val="00F2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DF99"/>
  <w15:docId w15:val="{FD9F08FF-C6F7-4415-A758-CD4957EA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outlineLvl w:val="1"/>
    </w:pPr>
    <w:rPr>
      <w:b/>
      <w:bCs/>
      <w:color w:val="B61928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basedOn w:val="Normalny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6F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6F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6F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6F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6F4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96926"/>
  </w:style>
  <w:style w:type="character" w:styleId="Nierozpoznanawzmianka">
    <w:name w:val="Unresolved Mention"/>
    <w:basedOn w:val="Domylnaczcionkaakapitu"/>
    <w:uiPriority w:val="99"/>
    <w:semiHidden/>
    <w:unhideWhenUsed/>
    <w:rsid w:val="00DE4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_lesiak@parp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35992-BE18-4652-BEBA-DE0D1F4B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8</Pages>
  <Words>2830</Words>
  <Characters>16984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Lesiak Marta</cp:lastModifiedBy>
  <cp:revision>7</cp:revision>
  <dcterms:created xsi:type="dcterms:W3CDTF">2026-10-27T09:19:00Z</dcterms:created>
  <dcterms:modified xsi:type="dcterms:W3CDTF">2026-10-28T15:10:00Z</dcterms:modified>
</cp:coreProperties>
</file>